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7D75DB46"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0033112B">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BB78F8">
        <w:rPr>
          <w:rFonts w:ascii="Arial" w:eastAsiaTheme="minorEastAsia" w:hAnsi="Arial" w:cs="Arial"/>
          <w:b/>
          <w:sz w:val="24"/>
          <w:szCs w:val="24"/>
          <w:lang w:eastAsia="zh-CN"/>
        </w:rPr>
        <w:t>4901</w:t>
      </w:r>
    </w:p>
    <w:p w14:paraId="5F85844A" w14:textId="1782E102" w:rsidR="0033112B" w:rsidRDefault="0033112B" w:rsidP="0033112B">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 xml:space="preserve">Changsha, China, 15 – 19 </w:t>
      </w:r>
      <w:proofErr w:type="gramStart"/>
      <w:r w:rsidRPr="00596CBF">
        <w:rPr>
          <w:rFonts w:ascii="Arial" w:eastAsiaTheme="minorEastAsia" w:hAnsi="Arial" w:cs="Arial"/>
          <w:b/>
          <w:sz w:val="24"/>
          <w:szCs w:val="24"/>
          <w:lang w:eastAsia="zh-CN"/>
        </w:rPr>
        <w:t>Apr,</w:t>
      </w:r>
      <w:proofErr w:type="gramEnd"/>
      <w:r w:rsidRPr="00596CBF">
        <w:rPr>
          <w:rFonts w:ascii="Arial" w:eastAsiaTheme="minorEastAsia" w:hAnsi="Arial" w:cs="Arial"/>
          <w:b/>
          <w:sz w:val="24"/>
          <w:szCs w:val="24"/>
          <w:lang w:eastAsia="zh-CN"/>
        </w:rPr>
        <w:t xml:space="preserve"> 2024</w:t>
      </w:r>
    </w:p>
    <w:p w14:paraId="12FEC692" w14:textId="77777777" w:rsidR="0033112B" w:rsidRDefault="0033112B" w:rsidP="0033112B">
      <w:pPr>
        <w:tabs>
          <w:tab w:val="left" w:pos="1985"/>
        </w:tabs>
        <w:spacing w:after="0"/>
        <w:jc w:val="both"/>
        <w:rPr>
          <w:rFonts w:ascii="Arial" w:eastAsiaTheme="minorEastAsia" w:hAnsi="Arial" w:cs="Arial"/>
          <w:b/>
          <w:sz w:val="24"/>
          <w:szCs w:val="24"/>
          <w:lang w:eastAsia="zh-CN"/>
        </w:rPr>
      </w:pPr>
    </w:p>
    <w:p w14:paraId="1226C057" w14:textId="2607DB89"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75307" w:rsidRPr="00975307">
        <w:rPr>
          <w:rFonts w:ascii="Arial" w:hAnsi="Arial" w:cs="Arial"/>
          <w:bCs/>
          <w:sz w:val="22"/>
        </w:rPr>
        <w:t xml:space="preserve">On architecture aspects for PC1p5 intra-band </w:t>
      </w:r>
      <w:r w:rsidR="00BB78F8">
        <w:rPr>
          <w:rFonts w:ascii="Arial" w:hAnsi="Arial" w:cs="Arial"/>
          <w:bCs/>
          <w:sz w:val="22"/>
        </w:rPr>
        <w:t>UL</w:t>
      </w:r>
      <w:r w:rsidR="00975307" w:rsidRPr="00975307">
        <w:rPr>
          <w:rFonts w:ascii="Arial" w:hAnsi="Arial" w:cs="Arial"/>
          <w:bCs/>
          <w:sz w:val="22"/>
        </w:rPr>
        <w:t>CA</w:t>
      </w:r>
      <w:r w:rsidR="00BB78F8">
        <w:rPr>
          <w:rFonts w:ascii="Arial" w:hAnsi="Arial" w:cs="Arial"/>
          <w:bCs/>
          <w:sz w:val="22"/>
        </w:rPr>
        <w:t xml:space="preserve"> support</w:t>
      </w:r>
    </w:p>
    <w:p w14:paraId="195DA234" w14:textId="61C0220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041E2905" w14:textId="03ADD792" w:rsidR="00B4277E" w:rsidRDefault="00E61455" w:rsidP="00975307">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75307" w:rsidRPr="00975307">
        <w:rPr>
          <w:rFonts w:ascii="Arial" w:hAnsi="Arial" w:cs="Arial"/>
          <w:sz w:val="22"/>
          <w:lang w:eastAsia="zh-CN"/>
        </w:rPr>
        <w:t>9.1.2</w:t>
      </w:r>
      <w:r w:rsidR="00975307">
        <w:rPr>
          <w:rFonts w:ascii="Arial" w:hAnsi="Arial" w:cs="Arial"/>
          <w:sz w:val="22"/>
          <w:lang w:eastAsia="zh-CN"/>
        </w:rPr>
        <w:t xml:space="preserve"> </w:t>
      </w:r>
      <w:r w:rsidR="00975307" w:rsidRPr="00975307">
        <w:rPr>
          <w:rFonts w:ascii="Arial" w:hAnsi="Arial" w:cs="Arial"/>
          <w:sz w:val="22"/>
          <w:lang w:eastAsia="zh-CN"/>
        </w:rPr>
        <w:t>High power UE (HPUE) for CA in terrestrial network (TN)</w:t>
      </w:r>
      <w:r w:rsidR="00975307">
        <w:rPr>
          <w:rFonts w:ascii="Arial" w:hAnsi="Arial" w:cs="Arial"/>
          <w:sz w:val="22"/>
          <w:lang w:eastAsia="zh-CN"/>
        </w:rPr>
        <w:t xml:space="preserve"> </w:t>
      </w:r>
      <w:r w:rsidR="00975307" w:rsidRPr="00975307">
        <w:rPr>
          <w:rFonts w:ascii="Arial" w:hAnsi="Arial" w:cs="Arial"/>
          <w:sz w:val="22"/>
          <w:lang w:eastAsia="zh-CN"/>
        </w:rPr>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6309C41" w:rsidR="00F2750F" w:rsidRPr="00AB149D" w:rsidRDefault="006923D7" w:rsidP="00F2750F">
      <w:pPr>
        <w:spacing w:after="0"/>
      </w:pPr>
      <w:bookmarkStart w:id="0" w:name="_Hlk149936446"/>
      <w:r>
        <w:t>In last RAN meeting #103, the work packages for RAN</w:t>
      </w:r>
      <w:r w:rsidR="00247734">
        <w:t>4</w:t>
      </w:r>
      <w:r>
        <w:t xml:space="preserve"> led non-spectrum items for Release 19 were approved. Within theses, a phase 4 enhancement for FR1 and FR2 UE RF was approved [1]</w:t>
      </w:r>
      <w:r w:rsidR="00500AAC">
        <w:t>.</w:t>
      </w:r>
      <w:r w:rsidR="00247734">
        <w:t xml:space="preserve"> For</w:t>
      </w:r>
      <w:r>
        <w:t xml:space="preserve"> FR1, it introduces power class 1.5 for intra-band contiguous and non-contiguous ULCA. In this contribution, we discuss the architecture aspects and their limitations for supporting PC1.5 ULCA under unbalanced transmitted BW in each CC.</w:t>
      </w:r>
    </w:p>
    <w:bookmarkEnd w:id="0"/>
    <w:p w14:paraId="61F277A6" w14:textId="4B359D79" w:rsidR="00343AA7" w:rsidRDefault="00B80DFB" w:rsidP="00446528">
      <w:pPr>
        <w:pStyle w:val="Heading1"/>
        <w:numPr>
          <w:ilvl w:val="0"/>
          <w:numId w:val="1"/>
        </w:numPr>
        <w:ind w:left="567" w:hanging="567"/>
      </w:pPr>
      <w:r>
        <w:t>Discussion</w:t>
      </w:r>
    </w:p>
    <w:p w14:paraId="40DA2ED0" w14:textId="7FB0013E" w:rsidR="006B1B45" w:rsidRDefault="006B1B45" w:rsidP="006B1B45">
      <w:pPr>
        <w:pStyle w:val="Heading2"/>
        <w:rPr>
          <w:rFonts w:eastAsia="Arial"/>
          <w:lang w:eastAsia="zh-CN"/>
        </w:rPr>
      </w:pPr>
      <w:r>
        <w:rPr>
          <w:rFonts w:eastAsia="Arial"/>
          <w:lang w:eastAsia="zh-CN"/>
        </w:rPr>
        <w:t xml:space="preserve">2.1 </w:t>
      </w:r>
      <w:r w:rsidR="006923D7">
        <w:rPr>
          <w:rFonts w:eastAsia="Arial"/>
          <w:lang w:eastAsia="zh-CN"/>
        </w:rPr>
        <w:t>WI description for PC1.5 intra-band ULCA.</w:t>
      </w:r>
    </w:p>
    <w:p w14:paraId="09CC4C81" w14:textId="77777777" w:rsidR="006923D7" w:rsidRPr="006923D7" w:rsidRDefault="006923D7" w:rsidP="006923D7">
      <w:pPr>
        <w:rPr>
          <w:bCs/>
        </w:rPr>
      </w:pPr>
      <w:r w:rsidRPr="006923D7">
        <w:rPr>
          <w:bCs/>
        </w:rPr>
        <w:t>The text below is the extraction of the FR1 intra-band ULCA part of the objectives in [1].</w:t>
      </w:r>
    </w:p>
    <w:p w14:paraId="36708F4C" w14:textId="033ADF6D" w:rsidR="006923D7" w:rsidRPr="006923D7" w:rsidRDefault="006923D7" w:rsidP="006923D7">
      <w:pPr>
        <w:rPr>
          <w:i/>
          <w:iCs/>
          <w:lang w:eastAsia="zh-CN"/>
        </w:rPr>
      </w:pPr>
      <w:r w:rsidRPr="006923D7">
        <w:rPr>
          <w:b/>
          <w:i/>
          <w:iCs/>
        </w:rPr>
        <w:t>“</w:t>
      </w:r>
      <w:r w:rsidRPr="006923D7">
        <w:rPr>
          <w:rFonts w:hint="eastAsia"/>
          <w:b/>
          <w:i/>
          <w:iCs/>
        </w:rPr>
        <w:t>High power UE (HPUE) for CA in terrestrial network (TN)</w:t>
      </w:r>
    </w:p>
    <w:p w14:paraId="173623DD" w14:textId="77777777" w:rsidR="006923D7" w:rsidRPr="006923D7" w:rsidRDefault="006923D7" w:rsidP="006923D7">
      <w:pPr>
        <w:pStyle w:val="ListParagraph"/>
        <w:widowControl w:val="0"/>
        <w:numPr>
          <w:ilvl w:val="0"/>
          <w:numId w:val="40"/>
        </w:numPr>
        <w:overflowPunct/>
        <w:autoSpaceDE/>
        <w:autoSpaceDN/>
        <w:adjustRightInd/>
        <w:spacing w:after="0" w:line="256" w:lineRule="auto"/>
        <w:ind w:firstLineChars="0"/>
        <w:textAlignment w:val="auto"/>
        <w:rPr>
          <w:i/>
          <w:iCs/>
          <w:lang w:eastAsia="zh-CN"/>
        </w:rPr>
      </w:pPr>
      <w:r w:rsidRPr="006923D7">
        <w:rPr>
          <w:i/>
          <w:iCs/>
        </w:rPr>
        <w:t xml:space="preserve">Specify the generic requirements of </w:t>
      </w:r>
      <w:proofErr w:type="gramStart"/>
      <w:r w:rsidRPr="006923D7">
        <w:rPr>
          <w:i/>
          <w:iCs/>
        </w:rPr>
        <w:t>high power</w:t>
      </w:r>
      <w:proofErr w:type="gramEnd"/>
      <w:r w:rsidRPr="006923D7">
        <w:rPr>
          <w:i/>
          <w:iCs/>
        </w:rPr>
        <w:t xml:space="preserve"> UE (HPUE) for NR uplink (UL) CA in FR1 and EN-DC with NR FR1 bands</w:t>
      </w:r>
    </w:p>
    <w:p w14:paraId="130A932E" w14:textId="77777777" w:rsidR="006923D7" w:rsidRPr="006923D7" w:rsidRDefault="006923D7" w:rsidP="006923D7">
      <w:pPr>
        <w:pStyle w:val="ListParagraph"/>
        <w:widowControl w:val="0"/>
        <w:numPr>
          <w:ilvl w:val="1"/>
          <w:numId w:val="40"/>
        </w:numPr>
        <w:overflowPunct/>
        <w:autoSpaceDE/>
        <w:autoSpaceDN/>
        <w:adjustRightInd/>
        <w:spacing w:after="0" w:line="256" w:lineRule="auto"/>
        <w:ind w:firstLineChars="0"/>
        <w:textAlignment w:val="auto"/>
        <w:rPr>
          <w:i/>
          <w:iCs/>
        </w:rPr>
      </w:pPr>
      <w:r w:rsidRPr="006923D7">
        <w:rPr>
          <w:i/>
          <w:iCs/>
        </w:rPr>
        <w:t>Power class 1.5 (PC1.5) UE for NR TDD intra-band UL contiguous and non-contiguous CA with 2Tx</w:t>
      </w:r>
    </w:p>
    <w:p w14:paraId="17BD008A" w14:textId="77777777" w:rsidR="006923D7" w:rsidRPr="006923D7" w:rsidRDefault="006923D7" w:rsidP="006923D7">
      <w:pPr>
        <w:pStyle w:val="ListParagraph"/>
        <w:widowControl w:val="0"/>
        <w:numPr>
          <w:ilvl w:val="2"/>
          <w:numId w:val="40"/>
        </w:numPr>
        <w:overflowPunct/>
        <w:autoSpaceDE/>
        <w:autoSpaceDN/>
        <w:adjustRightInd/>
        <w:spacing w:after="0" w:line="256" w:lineRule="auto"/>
        <w:ind w:firstLineChars="0"/>
        <w:textAlignment w:val="auto"/>
        <w:rPr>
          <w:i/>
          <w:iCs/>
        </w:rPr>
      </w:pPr>
      <w:r w:rsidRPr="006923D7">
        <w:rPr>
          <w:i/>
          <w:iCs/>
        </w:rPr>
        <w:t>Specify the requirements for intra-band UL contiguous CA with or without UL-MIMO</w:t>
      </w:r>
    </w:p>
    <w:p w14:paraId="48CA63C8" w14:textId="77777777" w:rsidR="006923D7" w:rsidRPr="006923D7" w:rsidRDefault="006923D7" w:rsidP="006923D7">
      <w:pPr>
        <w:pStyle w:val="ListParagraph"/>
        <w:widowControl w:val="0"/>
        <w:numPr>
          <w:ilvl w:val="3"/>
          <w:numId w:val="40"/>
        </w:numPr>
        <w:overflowPunct/>
        <w:autoSpaceDE/>
        <w:autoSpaceDN/>
        <w:adjustRightInd/>
        <w:spacing w:after="0" w:line="256" w:lineRule="auto"/>
        <w:ind w:firstLineChars="0"/>
        <w:textAlignment w:val="auto"/>
        <w:rPr>
          <w:i/>
          <w:iCs/>
        </w:rPr>
      </w:pPr>
      <w:r w:rsidRPr="006923D7">
        <w:rPr>
          <w:i/>
          <w:iCs/>
        </w:rPr>
        <w:t xml:space="preserve">Example band combinations: </w:t>
      </w:r>
    </w:p>
    <w:p w14:paraId="1762CB99" w14:textId="77777777" w:rsidR="006923D7" w:rsidRPr="006923D7" w:rsidRDefault="006923D7" w:rsidP="006923D7">
      <w:pPr>
        <w:pStyle w:val="ListParagraph"/>
        <w:widowControl w:val="0"/>
        <w:numPr>
          <w:ilvl w:val="4"/>
          <w:numId w:val="40"/>
        </w:numPr>
        <w:overflowPunct/>
        <w:autoSpaceDE/>
        <w:autoSpaceDN/>
        <w:adjustRightInd/>
        <w:spacing w:after="0" w:line="256" w:lineRule="auto"/>
        <w:ind w:firstLineChars="0"/>
        <w:textAlignment w:val="auto"/>
        <w:rPr>
          <w:i/>
          <w:iCs/>
        </w:rPr>
      </w:pPr>
      <w:r w:rsidRPr="006923D7">
        <w:rPr>
          <w:i/>
          <w:iCs/>
        </w:rPr>
        <w:t>CA_n41C, CA_n78C, CA_n77C, CA_n79C for intra-band uplink contiguous CA configurations</w:t>
      </w:r>
    </w:p>
    <w:p w14:paraId="44295B30" w14:textId="77777777" w:rsidR="006923D7" w:rsidRPr="006923D7" w:rsidRDefault="006923D7" w:rsidP="006923D7">
      <w:pPr>
        <w:pStyle w:val="ListParagraph"/>
        <w:widowControl w:val="0"/>
        <w:numPr>
          <w:ilvl w:val="3"/>
          <w:numId w:val="40"/>
        </w:numPr>
        <w:overflowPunct/>
        <w:autoSpaceDE/>
        <w:autoSpaceDN/>
        <w:adjustRightInd/>
        <w:spacing w:after="0" w:line="256" w:lineRule="auto"/>
        <w:ind w:firstLineChars="0"/>
        <w:textAlignment w:val="auto"/>
        <w:rPr>
          <w:i/>
          <w:iCs/>
        </w:rPr>
      </w:pPr>
      <w:r w:rsidRPr="006923D7">
        <w:rPr>
          <w:i/>
          <w:iCs/>
        </w:rPr>
        <w:t>Focus on the maximum output power (MOP), MPR/A-MPR requirements, SAR solution</w:t>
      </w:r>
    </w:p>
    <w:p w14:paraId="019C1988" w14:textId="77777777" w:rsidR="006923D7" w:rsidRPr="006923D7" w:rsidRDefault="006923D7" w:rsidP="006923D7">
      <w:pPr>
        <w:pStyle w:val="ListParagraph"/>
        <w:widowControl w:val="0"/>
        <w:numPr>
          <w:ilvl w:val="2"/>
          <w:numId w:val="40"/>
        </w:numPr>
        <w:overflowPunct/>
        <w:autoSpaceDE/>
        <w:autoSpaceDN/>
        <w:adjustRightInd/>
        <w:spacing w:after="0" w:line="256" w:lineRule="auto"/>
        <w:ind w:firstLineChars="0"/>
        <w:textAlignment w:val="auto"/>
        <w:rPr>
          <w:i/>
          <w:iCs/>
        </w:rPr>
      </w:pPr>
      <w:r w:rsidRPr="006923D7">
        <w:rPr>
          <w:i/>
          <w:iCs/>
        </w:rPr>
        <w:t>Specify the requirements for intra-band UL non-contiguous CA without UL-MIMO</w:t>
      </w:r>
    </w:p>
    <w:p w14:paraId="5C8C28C2" w14:textId="77777777" w:rsidR="006923D7" w:rsidRPr="006923D7" w:rsidRDefault="006923D7" w:rsidP="006923D7">
      <w:pPr>
        <w:pStyle w:val="ListParagraph"/>
        <w:widowControl w:val="0"/>
        <w:numPr>
          <w:ilvl w:val="3"/>
          <w:numId w:val="40"/>
        </w:numPr>
        <w:overflowPunct/>
        <w:autoSpaceDE/>
        <w:autoSpaceDN/>
        <w:adjustRightInd/>
        <w:spacing w:after="0" w:line="256" w:lineRule="auto"/>
        <w:ind w:firstLineChars="0"/>
        <w:textAlignment w:val="auto"/>
        <w:rPr>
          <w:i/>
          <w:iCs/>
        </w:rPr>
      </w:pPr>
      <w:r w:rsidRPr="006923D7">
        <w:rPr>
          <w:i/>
          <w:iCs/>
        </w:rPr>
        <w:t xml:space="preserve">Example band combinations: </w:t>
      </w:r>
    </w:p>
    <w:p w14:paraId="080476B8" w14:textId="77777777" w:rsidR="006923D7" w:rsidRPr="006923D7" w:rsidRDefault="006923D7" w:rsidP="006923D7">
      <w:pPr>
        <w:pStyle w:val="ListParagraph"/>
        <w:widowControl w:val="0"/>
        <w:numPr>
          <w:ilvl w:val="4"/>
          <w:numId w:val="40"/>
        </w:numPr>
        <w:overflowPunct/>
        <w:autoSpaceDE/>
        <w:autoSpaceDN/>
        <w:adjustRightInd/>
        <w:spacing w:after="0" w:line="256" w:lineRule="auto"/>
        <w:ind w:firstLineChars="0"/>
        <w:textAlignment w:val="auto"/>
        <w:rPr>
          <w:i/>
          <w:iCs/>
        </w:rPr>
      </w:pPr>
      <w:r w:rsidRPr="006923D7">
        <w:rPr>
          <w:i/>
          <w:iCs/>
        </w:rPr>
        <w:t>CA_n78(2A), CA_n77(2A) for intra-band uplink non-contiguous CA configurations</w:t>
      </w:r>
    </w:p>
    <w:p w14:paraId="2E4B206D" w14:textId="77777777" w:rsidR="006923D7" w:rsidRPr="006923D7" w:rsidRDefault="006923D7" w:rsidP="006923D7">
      <w:pPr>
        <w:pStyle w:val="ListParagraph"/>
        <w:widowControl w:val="0"/>
        <w:numPr>
          <w:ilvl w:val="3"/>
          <w:numId w:val="40"/>
        </w:numPr>
        <w:overflowPunct/>
        <w:autoSpaceDE/>
        <w:autoSpaceDN/>
        <w:adjustRightInd/>
        <w:spacing w:after="0" w:line="256" w:lineRule="auto"/>
        <w:ind w:firstLineChars="0"/>
        <w:textAlignment w:val="auto"/>
        <w:rPr>
          <w:i/>
          <w:iCs/>
        </w:rPr>
      </w:pPr>
      <w:r w:rsidRPr="006923D7">
        <w:rPr>
          <w:i/>
          <w:iCs/>
        </w:rPr>
        <w:t>Focus on the maximum output power (MOP), MPR/A-MPR requirements, SAR solution</w:t>
      </w:r>
    </w:p>
    <w:p w14:paraId="1327B630" w14:textId="7D521A08" w:rsidR="006923D7" w:rsidRPr="006923D7" w:rsidRDefault="006923D7" w:rsidP="006923D7">
      <w:pPr>
        <w:pStyle w:val="ListParagraph"/>
        <w:widowControl w:val="0"/>
        <w:numPr>
          <w:ilvl w:val="2"/>
          <w:numId w:val="40"/>
        </w:numPr>
        <w:overflowPunct/>
        <w:autoSpaceDE/>
        <w:autoSpaceDN/>
        <w:adjustRightInd/>
        <w:spacing w:after="0" w:line="256" w:lineRule="auto"/>
        <w:ind w:firstLineChars="0"/>
        <w:textAlignment w:val="auto"/>
        <w:rPr>
          <w:i/>
          <w:iCs/>
        </w:rPr>
      </w:pPr>
      <w:r w:rsidRPr="006923D7">
        <w:rPr>
          <w:i/>
          <w:iCs/>
        </w:rPr>
        <w:t>NOTE: leave the other band combination specific requirements to the corresponding Rel-19 basket Wis”</w:t>
      </w:r>
    </w:p>
    <w:p w14:paraId="6F356ED9" w14:textId="77777777" w:rsidR="00D75380" w:rsidRDefault="00D75380" w:rsidP="00843A20">
      <w:pPr>
        <w:spacing w:after="0"/>
        <w:rPr>
          <w:rFonts w:eastAsia="Arial"/>
          <w:b/>
          <w:bCs/>
          <w:lang w:eastAsia="zh-CN"/>
        </w:rPr>
      </w:pPr>
    </w:p>
    <w:p w14:paraId="5184A405" w14:textId="1C2915C9" w:rsidR="006923D7" w:rsidRPr="006923D7" w:rsidRDefault="006923D7" w:rsidP="00843A20">
      <w:pPr>
        <w:spacing w:after="0"/>
        <w:rPr>
          <w:rFonts w:eastAsia="Arial"/>
          <w:b/>
          <w:bCs/>
          <w:lang w:eastAsia="zh-CN"/>
        </w:rPr>
      </w:pPr>
      <w:r w:rsidRPr="006923D7">
        <w:rPr>
          <w:rFonts w:eastAsia="Arial"/>
          <w:b/>
          <w:bCs/>
          <w:lang w:eastAsia="zh-CN"/>
        </w:rPr>
        <w:t>Observations:</w:t>
      </w:r>
    </w:p>
    <w:p w14:paraId="32CEDE49" w14:textId="76E0C4AD" w:rsidR="006923D7" w:rsidRDefault="00843A20" w:rsidP="00843A20">
      <w:pPr>
        <w:pStyle w:val="ListParagraph"/>
        <w:numPr>
          <w:ilvl w:val="0"/>
          <w:numId w:val="42"/>
        </w:numPr>
        <w:spacing w:after="0"/>
        <w:ind w:firstLineChars="0"/>
        <w:rPr>
          <w:rFonts w:eastAsia="Arial"/>
          <w:b/>
          <w:bCs/>
          <w:lang w:eastAsia="zh-CN"/>
        </w:rPr>
      </w:pPr>
      <w:r>
        <w:rPr>
          <w:rFonts w:eastAsia="Arial"/>
          <w:b/>
          <w:bCs/>
          <w:lang w:eastAsia="zh-CN"/>
        </w:rPr>
        <w:t>Both contiguous and non-contiguous ULCA are targeted</w:t>
      </w:r>
    </w:p>
    <w:p w14:paraId="456ED7C7" w14:textId="124804F8" w:rsidR="00843A20" w:rsidRDefault="00843A20" w:rsidP="006923D7">
      <w:pPr>
        <w:pStyle w:val="ListParagraph"/>
        <w:numPr>
          <w:ilvl w:val="0"/>
          <w:numId w:val="42"/>
        </w:numPr>
        <w:spacing w:after="0"/>
        <w:ind w:firstLineChars="0"/>
        <w:rPr>
          <w:rFonts w:eastAsia="Arial"/>
          <w:b/>
          <w:bCs/>
          <w:lang w:eastAsia="zh-CN"/>
        </w:rPr>
      </w:pPr>
      <w:r>
        <w:rPr>
          <w:rFonts w:eastAsia="Arial"/>
          <w:b/>
          <w:bCs/>
          <w:lang w:eastAsia="zh-CN"/>
        </w:rPr>
        <w:t>Requirements should be specified with/without UL-MIMO</w:t>
      </w:r>
    </w:p>
    <w:p w14:paraId="0EE4E2E8" w14:textId="7A8EBC0B" w:rsidR="00843A20" w:rsidRDefault="00843A20" w:rsidP="006923D7">
      <w:pPr>
        <w:pStyle w:val="ListParagraph"/>
        <w:numPr>
          <w:ilvl w:val="0"/>
          <w:numId w:val="42"/>
        </w:numPr>
        <w:spacing w:after="0"/>
        <w:ind w:firstLineChars="0"/>
        <w:rPr>
          <w:rFonts w:eastAsia="Arial"/>
          <w:b/>
          <w:bCs/>
          <w:lang w:eastAsia="zh-CN"/>
        </w:rPr>
      </w:pPr>
      <w:r>
        <w:rPr>
          <w:rFonts w:eastAsia="Arial"/>
          <w:b/>
          <w:bCs/>
          <w:lang w:eastAsia="zh-CN"/>
        </w:rPr>
        <w:t>One additional observation is that the support of P1.5 intra-band ULCA in one band s</w:t>
      </w:r>
      <w:r w:rsidR="00653B8A">
        <w:rPr>
          <w:rFonts w:eastAsia="Arial"/>
          <w:b/>
          <w:bCs/>
          <w:lang w:eastAsia="zh-CN"/>
        </w:rPr>
        <w:t>h</w:t>
      </w:r>
      <w:r>
        <w:rPr>
          <w:rFonts w:eastAsia="Arial"/>
          <w:b/>
          <w:bCs/>
          <w:lang w:eastAsia="zh-CN"/>
        </w:rPr>
        <w:t xml:space="preserve">ould be based on already supporting PC1.5 with a single CC in the same band which means that 2Tx and </w:t>
      </w:r>
      <w:proofErr w:type="spellStart"/>
      <w:r>
        <w:rPr>
          <w:rFonts w:eastAsia="Arial"/>
          <w:b/>
          <w:bCs/>
          <w:lang w:eastAsia="zh-CN"/>
        </w:rPr>
        <w:t>TxD</w:t>
      </w:r>
      <w:proofErr w:type="spellEnd"/>
      <w:r>
        <w:rPr>
          <w:rFonts w:eastAsia="Arial"/>
          <w:b/>
          <w:bCs/>
          <w:lang w:eastAsia="zh-CN"/>
        </w:rPr>
        <w:t xml:space="preserve"> at a minimum should be supported</w:t>
      </w:r>
      <w:r w:rsidR="00247734">
        <w:rPr>
          <w:rFonts w:eastAsia="Arial"/>
          <w:b/>
          <w:bCs/>
          <w:lang w:eastAsia="zh-CN"/>
        </w:rPr>
        <w:t>.</w:t>
      </w:r>
    </w:p>
    <w:p w14:paraId="4B77EAF8" w14:textId="77777777" w:rsidR="00843A20" w:rsidRDefault="00843A20" w:rsidP="00843A20">
      <w:pPr>
        <w:spacing w:after="0"/>
        <w:rPr>
          <w:rFonts w:eastAsia="Arial"/>
          <w:b/>
          <w:bCs/>
          <w:lang w:eastAsia="zh-CN"/>
        </w:rPr>
      </w:pPr>
    </w:p>
    <w:p w14:paraId="6FF35AEF" w14:textId="36060E32" w:rsidR="00843A20" w:rsidRDefault="00843A20" w:rsidP="00843A20">
      <w:pPr>
        <w:spacing w:after="0"/>
        <w:rPr>
          <w:rFonts w:eastAsia="Arial"/>
          <w:b/>
          <w:bCs/>
          <w:lang w:eastAsia="zh-CN"/>
        </w:rPr>
      </w:pPr>
      <w:r>
        <w:rPr>
          <w:rFonts w:eastAsia="Arial"/>
          <w:b/>
          <w:bCs/>
          <w:lang w:eastAsia="zh-CN"/>
        </w:rPr>
        <w:t>Proposal: To support the mandatory 1CC fall back, a UE supporting contiguous or non-contiguous PC1.5 ULCA must support single CC PC1.5 in the same band and thus</w:t>
      </w:r>
      <w:r w:rsidR="00653B8A">
        <w:rPr>
          <w:rFonts w:eastAsia="Arial"/>
          <w:b/>
          <w:bCs/>
          <w:lang w:eastAsia="zh-CN"/>
        </w:rPr>
        <w:t>,</w:t>
      </w:r>
      <w:r>
        <w:rPr>
          <w:rFonts w:eastAsia="Arial"/>
          <w:b/>
          <w:bCs/>
          <w:lang w:eastAsia="zh-CN"/>
        </w:rPr>
        <w:t xml:space="preserve"> support 2Tx with </w:t>
      </w:r>
      <w:proofErr w:type="spellStart"/>
      <w:r>
        <w:rPr>
          <w:rFonts w:eastAsia="Arial"/>
          <w:b/>
          <w:bCs/>
          <w:lang w:eastAsia="zh-CN"/>
        </w:rPr>
        <w:t>TxD</w:t>
      </w:r>
      <w:proofErr w:type="spellEnd"/>
      <w:r>
        <w:rPr>
          <w:rFonts w:eastAsia="Arial"/>
          <w:b/>
          <w:bCs/>
          <w:lang w:eastAsia="zh-CN"/>
        </w:rPr>
        <w:t xml:space="preserve"> as </w:t>
      </w:r>
      <w:r w:rsidR="00653B8A">
        <w:rPr>
          <w:rFonts w:eastAsia="Arial"/>
          <w:b/>
          <w:bCs/>
          <w:lang w:eastAsia="zh-CN"/>
        </w:rPr>
        <w:t xml:space="preserve">a </w:t>
      </w:r>
      <w:r>
        <w:rPr>
          <w:rFonts w:eastAsia="Arial"/>
          <w:b/>
          <w:bCs/>
          <w:lang w:eastAsia="zh-CN"/>
        </w:rPr>
        <w:t>minimum</w:t>
      </w:r>
      <w:r w:rsidR="00811569">
        <w:rPr>
          <w:rFonts w:eastAsia="Arial"/>
          <w:b/>
          <w:bCs/>
          <w:lang w:eastAsia="zh-CN"/>
        </w:rPr>
        <w:t xml:space="preserve"> feature</w:t>
      </w:r>
      <w:r>
        <w:rPr>
          <w:rFonts w:eastAsia="Arial"/>
          <w:b/>
          <w:bCs/>
          <w:lang w:eastAsia="zh-CN"/>
        </w:rPr>
        <w:t xml:space="preserve"> and UL MIMO optionally.</w:t>
      </w:r>
    </w:p>
    <w:p w14:paraId="3435867F" w14:textId="04757E26" w:rsidR="00843A20" w:rsidRDefault="00843A20" w:rsidP="00843A20">
      <w:pPr>
        <w:spacing w:after="0"/>
        <w:rPr>
          <w:rFonts w:eastAsia="Arial"/>
          <w:b/>
          <w:bCs/>
          <w:lang w:eastAsia="zh-CN"/>
        </w:rPr>
      </w:pPr>
    </w:p>
    <w:p w14:paraId="2A751A46" w14:textId="6F7B6E01" w:rsidR="00843A20" w:rsidRPr="00843A20" w:rsidRDefault="00843A20" w:rsidP="00843A20">
      <w:pPr>
        <w:spacing w:after="0"/>
        <w:rPr>
          <w:rFonts w:eastAsia="Arial"/>
          <w:lang w:eastAsia="zh-CN"/>
        </w:rPr>
      </w:pPr>
      <w:r w:rsidRPr="00843A20">
        <w:rPr>
          <w:rFonts w:eastAsia="Arial"/>
          <w:lang w:eastAsia="zh-CN"/>
        </w:rPr>
        <w:t>In this contribution</w:t>
      </w:r>
      <w:r w:rsidR="00653B8A">
        <w:rPr>
          <w:rFonts w:eastAsia="Arial"/>
          <w:lang w:eastAsia="zh-CN"/>
        </w:rPr>
        <w:t>,</w:t>
      </w:r>
      <w:r w:rsidRPr="00843A20">
        <w:rPr>
          <w:rFonts w:eastAsia="Arial"/>
          <w:lang w:eastAsia="zh-CN"/>
        </w:rPr>
        <w:t xml:space="preserve"> we will discuss the limitations that some architecture might have in supporting all allocation cases for PC1.5 intra-band ULCA.</w:t>
      </w:r>
    </w:p>
    <w:p w14:paraId="5D756521" w14:textId="4C0FB4CB" w:rsidR="00906105" w:rsidRDefault="00A266B6" w:rsidP="00906105">
      <w:pPr>
        <w:pStyle w:val="Heading2"/>
        <w:rPr>
          <w:rFonts w:eastAsia="Arial"/>
          <w:lang w:eastAsia="zh-CN"/>
        </w:rPr>
      </w:pPr>
      <w:r>
        <w:rPr>
          <w:rFonts w:eastAsia="Arial"/>
          <w:lang w:eastAsia="zh-CN"/>
        </w:rPr>
        <w:t xml:space="preserve">2.2 </w:t>
      </w:r>
      <w:r w:rsidR="00843A20">
        <w:rPr>
          <w:rFonts w:eastAsia="Arial"/>
          <w:lang w:eastAsia="zh-CN"/>
        </w:rPr>
        <w:t>Architecture aspects for PC1.5 intra-band ULCA.</w:t>
      </w:r>
    </w:p>
    <w:p w14:paraId="33975A0F" w14:textId="1D702FA1" w:rsidR="00843A20" w:rsidRDefault="00843A20" w:rsidP="00843A20">
      <w:pPr>
        <w:rPr>
          <w:rFonts w:eastAsia="Arial"/>
          <w:lang w:eastAsia="zh-CN"/>
        </w:rPr>
      </w:pPr>
      <w:r>
        <w:rPr>
          <w:rFonts w:eastAsia="Arial"/>
          <w:lang w:eastAsia="zh-CN"/>
        </w:rPr>
        <w:t>The support of PC1.5 one CC is based on two PC2 PAs or as introduced for FWA four PC3 PAs. In any case, there is no PA that delivers 29dBm standalone</w:t>
      </w:r>
      <w:r w:rsidR="001E2FD9">
        <w:rPr>
          <w:rFonts w:eastAsia="Arial"/>
          <w:lang w:eastAsia="zh-CN"/>
        </w:rPr>
        <w:t xml:space="preserve"> thus 2Tx is default (</w:t>
      </w:r>
      <w:proofErr w:type="spellStart"/>
      <w:r w:rsidR="001E2FD9">
        <w:rPr>
          <w:rFonts w:eastAsia="Arial"/>
          <w:lang w:eastAsia="zh-CN"/>
        </w:rPr>
        <w:t>TxD</w:t>
      </w:r>
      <w:proofErr w:type="spellEnd"/>
      <w:r w:rsidR="001E2FD9">
        <w:rPr>
          <w:rFonts w:eastAsia="Arial"/>
          <w:lang w:eastAsia="zh-CN"/>
        </w:rPr>
        <w:t xml:space="preserve"> is de facto, and UL MIMO is optional). For the Release 19 PC1.5 intra-band ULCA case</w:t>
      </w:r>
      <w:r w:rsidR="00653B8A">
        <w:rPr>
          <w:rFonts w:eastAsia="Arial"/>
          <w:lang w:eastAsia="zh-CN"/>
        </w:rPr>
        <w:t>,</w:t>
      </w:r>
      <w:r w:rsidR="001E2FD9">
        <w:rPr>
          <w:rFonts w:eastAsia="Arial"/>
          <w:lang w:eastAsia="zh-CN"/>
        </w:rPr>
        <w:t xml:space="preserve"> we think it is fair to focus on the UE implementing 2Tx for 1CC PC1.5.</w:t>
      </w:r>
    </w:p>
    <w:p w14:paraId="6BC8642F" w14:textId="18FB5189" w:rsidR="00811569" w:rsidRPr="001E2FD9" w:rsidRDefault="00811569" w:rsidP="00811569">
      <w:pPr>
        <w:rPr>
          <w:rFonts w:eastAsia="Arial"/>
          <w:b/>
          <w:bCs/>
          <w:lang w:eastAsia="zh-CN"/>
        </w:rPr>
      </w:pPr>
      <w:r w:rsidRPr="001E2FD9">
        <w:rPr>
          <w:rFonts w:eastAsia="Arial"/>
          <w:b/>
          <w:bCs/>
          <w:lang w:eastAsia="zh-CN"/>
        </w:rPr>
        <w:t xml:space="preserve">Proposal: the intra-band PC1.5 ULCA R19 work focusses on UE implementing </w:t>
      </w:r>
      <w:r>
        <w:rPr>
          <w:rFonts w:eastAsia="Arial"/>
          <w:b/>
          <w:bCs/>
          <w:lang w:eastAsia="zh-CN"/>
        </w:rPr>
        <w:t>intra-band ULCA</w:t>
      </w:r>
      <w:r w:rsidRPr="001E2FD9">
        <w:rPr>
          <w:rFonts w:eastAsia="Arial"/>
          <w:b/>
          <w:bCs/>
          <w:lang w:eastAsia="zh-CN"/>
        </w:rPr>
        <w:t xml:space="preserve"> PC1.</w:t>
      </w:r>
      <w:r>
        <w:rPr>
          <w:rFonts w:eastAsia="Arial"/>
          <w:b/>
          <w:bCs/>
          <w:lang w:eastAsia="zh-CN"/>
        </w:rPr>
        <w:t>5</w:t>
      </w:r>
      <w:r w:rsidRPr="001E2FD9">
        <w:rPr>
          <w:rFonts w:eastAsia="Arial"/>
          <w:b/>
          <w:bCs/>
          <w:lang w:eastAsia="zh-CN"/>
        </w:rPr>
        <w:t xml:space="preserve"> this two 26dBm PAs.</w:t>
      </w:r>
    </w:p>
    <w:p w14:paraId="5750A67C" w14:textId="75746463" w:rsidR="001E2FD9" w:rsidRDefault="001E2FD9" w:rsidP="002B1B94">
      <w:pPr>
        <w:spacing w:after="0"/>
        <w:rPr>
          <w:rFonts w:eastAsia="Arial"/>
          <w:lang w:eastAsia="zh-CN"/>
        </w:rPr>
      </w:pPr>
      <w:r>
        <w:rPr>
          <w:rFonts w:eastAsia="Arial"/>
          <w:lang w:eastAsia="zh-CN"/>
        </w:rPr>
        <w:t>For PC2 intra-band ULCA, two main architecture using one or two PAs were specified for PC2:</w:t>
      </w:r>
    </w:p>
    <w:p w14:paraId="6B61FFC7" w14:textId="6870E2C0" w:rsidR="001E2FD9" w:rsidRDefault="001E2FD9" w:rsidP="002B1B94">
      <w:pPr>
        <w:pStyle w:val="ListParagraph"/>
        <w:numPr>
          <w:ilvl w:val="0"/>
          <w:numId w:val="43"/>
        </w:numPr>
        <w:spacing w:after="0"/>
        <w:ind w:firstLineChars="0"/>
        <w:rPr>
          <w:rFonts w:eastAsia="Arial"/>
          <w:lang w:eastAsia="zh-CN"/>
        </w:rPr>
      </w:pPr>
      <w:r>
        <w:rPr>
          <w:rFonts w:eastAsia="Arial"/>
          <w:lang w:eastAsia="zh-CN"/>
        </w:rPr>
        <w:t>For contiguous intra-band ULCA</w:t>
      </w:r>
      <w:r w:rsidR="00247734">
        <w:rPr>
          <w:rFonts w:eastAsia="Arial"/>
          <w:lang w:eastAsia="zh-CN"/>
        </w:rPr>
        <w:t>:</w:t>
      </w:r>
    </w:p>
    <w:p w14:paraId="6F4770FF" w14:textId="5257CD55" w:rsidR="001E2FD9" w:rsidRDefault="002B1B94" w:rsidP="002B1B94">
      <w:pPr>
        <w:pStyle w:val="ListParagraph"/>
        <w:numPr>
          <w:ilvl w:val="1"/>
          <w:numId w:val="43"/>
        </w:numPr>
        <w:spacing w:after="0"/>
        <w:ind w:firstLineChars="0"/>
        <w:rPr>
          <w:rFonts w:eastAsia="Arial"/>
          <w:lang w:eastAsia="zh-CN"/>
        </w:rPr>
      </w:pPr>
      <w:r>
        <w:rPr>
          <w:rFonts w:eastAsia="Arial"/>
          <w:lang w:eastAsia="zh-CN"/>
        </w:rPr>
        <w:t>One 26dBm PA supporting both CC</w:t>
      </w:r>
    </w:p>
    <w:p w14:paraId="0D6D0C46" w14:textId="74E30C14" w:rsidR="002B1B94" w:rsidRDefault="002B1B94" w:rsidP="002B1B94">
      <w:pPr>
        <w:pStyle w:val="ListParagraph"/>
        <w:numPr>
          <w:ilvl w:val="1"/>
          <w:numId w:val="43"/>
        </w:numPr>
        <w:spacing w:after="0"/>
        <w:ind w:firstLineChars="0"/>
        <w:rPr>
          <w:rFonts w:eastAsia="Arial"/>
          <w:lang w:eastAsia="zh-CN"/>
        </w:rPr>
      </w:pPr>
      <w:r>
        <w:rPr>
          <w:rFonts w:eastAsia="Arial"/>
          <w:lang w:eastAsia="zh-CN"/>
        </w:rPr>
        <w:t>Two 23dBm PAs with 2TX, each supporting both CCs</w:t>
      </w:r>
    </w:p>
    <w:p w14:paraId="4553570C" w14:textId="3CD40018" w:rsidR="002B1B94" w:rsidRDefault="002B1B94" w:rsidP="002B1B94">
      <w:pPr>
        <w:pStyle w:val="ListParagraph"/>
        <w:numPr>
          <w:ilvl w:val="1"/>
          <w:numId w:val="43"/>
        </w:numPr>
        <w:spacing w:after="0"/>
        <w:ind w:firstLineChars="0"/>
        <w:rPr>
          <w:rFonts w:eastAsia="Arial"/>
          <w:lang w:eastAsia="zh-CN"/>
        </w:rPr>
      </w:pPr>
      <w:r>
        <w:rPr>
          <w:rFonts w:eastAsia="Arial"/>
          <w:lang w:eastAsia="zh-CN"/>
        </w:rPr>
        <w:lastRenderedPageBreak/>
        <w:t xml:space="preserve">One PA per CC with at least one 26dBm PA </w:t>
      </w:r>
    </w:p>
    <w:p w14:paraId="24EC471C" w14:textId="4DB7E14D" w:rsidR="002B1B94" w:rsidRDefault="002B1B94" w:rsidP="002B1B94">
      <w:pPr>
        <w:pStyle w:val="ListParagraph"/>
        <w:numPr>
          <w:ilvl w:val="0"/>
          <w:numId w:val="43"/>
        </w:numPr>
        <w:spacing w:after="0"/>
        <w:ind w:firstLineChars="0"/>
        <w:rPr>
          <w:rFonts w:eastAsia="Arial"/>
          <w:lang w:eastAsia="zh-CN"/>
        </w:rPr>
      </w:pPr>
      <w:r>
        <w:rPr>
          <w:rFonts w:eastAsia="Arial"/>
          <w:lang w:eastAsia="zh-CN"/>
        </w:rPr>
        <w:t>For non-contiguous intra-band ULCA</w:t>
      </w:r>
      <w:r w:rsidR="00247734">
        <w:rPr>
          <w:rFonts w:eastAsia="Arial"/>
          <w:lang w:eastAsia="zh-CN"/>
        </w:rPr>
        <w:t>:</w:t>
      </w:r>
    </w:p>
    <w:p w14:paraId="1770C315" w14:textId="147A6713" w:rsidR="002B1B94" w:rsidRDefault="002B1B94" w:rsidP="002B1B94">
      <w:pPr>
        <w:pStyle w:val="ListParagraph"/>
        <w:numPr>
          <w:ilvl w:val="1"/>
          <w:numId w:val="43"/>
        </w:numPr>
        <w:spacing w:after="0"/>
        <w:ind w:firstLineChars="0"/>
        <w:rPr>
          <w:rFonts w:eastAsia="Arial"/>
          <w:lang w:eastAsia="zh-CN"/>
        </w:rPr>
      </w:pPr>
      <w:r>
        <w:rPr>
          <w:rFonts w:eastAsia="Arial"/>
          <w:lang w:eastAsia="zh-CN"/>
        </w:rPr>
        <w:t xml:space="preserve">One 26dBm PA supporting both CC with restrictions on maximum separation </w:t>
      </w:r>
      <w:proofErr w:type="gramStart"/>
      <w:r>
        <w:rPr>
          <w:rFonts w:eastAsia="Arial"/>
          <w:lang w:eastAsia="zh-CN"/>
        </w:rPr>
        <w:t>BW(</w:t>
      </w:r>
      <w:proofErr w:type="gramEnd"/>
      <w:r>
        <w:rPr>
          <w:rFonts w:eastAsia="Arial"/>
          <w:lang w:eastAsia="zh-CN"/>
        </w:rPr>
        <w:t xml:space="preserve">200MHz) and </w:t>
      </w:r>
      <w:r w:rsidR="00857BFC">
        <w:rPr>
          <w:rFonts w:eastAsia="Arial"/>
          <w:lang w:eastAsia="zh-CN"/>
        </w:rPr>
        <w:t>g</w:t>
      </w:r>
      <w:r>
        <w:rPr>
          <w:rFonts w:eastAsia="Arial"/>
          <w:lang w:eastAsia="zh-CN"/>
        </w:rPr>
        <w:t>ap size (</w:t>
      </w:r>
      <w:r w:rsidR="00857BFC">
        <w:rPr>
          <w:rFonts w:eastAsia="Arial"/>
          <w:lang w:eastAsia="zh-CN"/>
        </w:rPr>
        <w:t>&lt;CC1+CC2 BW) but possibility to support UL MIMO</w:t>
      </w:r>
    </w:p>
    <w:p w14:paraId="5BF8C229" w14:textId="31111ECA" w:rsidR="002B1B94" w:rsidRPr="00857BFC" w:rsidRDefault="002B1B94" w:rsidP="00857BFC">
      <w:pPr>
        <w:pStyle w:val="ListParagraph"/>
        <w:numPr>
          <w:ilvl w:val="1"/>
          <w:numId w:val="43"/>
        </w:numPr>
        <w:spacing w:after="0"/>
        <w:ind w:firstLineChars="0"/>
        <w:rPr>
          <w:rFonts w:eastAsia="Arial"/>
          <w:lang w:eastAsia="zh-CN"/>
        </w:rPr>
      </w:pPr>
      <w:r>
        <w:rPr>
          <w:rFonts w:eastAsia="Arial"/>
          <w:lang w:eastAsia="zh-CN"/>
        </w:rPr>
        <w:t>Two 23dBm PAs with 2TX, each supporting both CCs</w:t>
      </w:r>
      <w:r w:rsidR="00857BFC">
        <w:rPr>
          <w:rFonts w:eastAsia="Arial"/>
          <w:lang w:eastAsia="zh-CN"/>
        </w:rPr>
        <w:t xml:space="preserve"> with restrictions on maximum separation </w:t>
      </w:r>
      <w:proofErr w:type="gramStart"/>
      <w:r w:rsidR="00857BFC">
        <w:rPr>
          <w:rFonts w:eastAsia="Arial"/>
          <w:lang w:eastAsia="zh-CN"/>
        </w:rPr>
        <w:t>BW(</w:t>
      </w:r>
      <w:proofErr w:type="gramEnd"/>
      <w:r w:rsidR="00857BFC">
        <w:rPr>
          <w:rFonts w:eastAsia="Arial"/>
          <w:lang w:eastAsia="zh-CN"/>
        </w:rPr>
        <w:t>200MHz) and gap size (&lt;CC1+CC2 BW) but possibility to support UL MIMO</w:t>
      </w:r>
    </w:p>
    <w:p w14:paraId="713D8E4F" w14:textId="5BFBEF05" w:rsidR="002B1B94" w:rsidRPr="001E2FD9" w:rsidRDefault="002B1B94" w:rsidP="002B1B94">
      <w:pPr>
        <w:pStyle w:val="ListParagraph"/>
        <w:numPr>
          <w:ilvl w:val="1"/>
          <w:numId w:val="43"/>
        </w:numPr>
        <w:spacing w:after="0"/>
        <w:ind w:firstLineChars="0"/>
        <w:rPr>
          <w:rFonts w:eastAsia="Arial"/>
          <w:lang w:eastAsia="zh-CN"/>
        </w:rPr>
      </w:pPr>
      <w:r>
        <w:rPr>
          <w:rFonts w:eastAsia="Arial"/>
          <w:lang w:eastAsia="zh-CN"/>
        </w:rPr>
        <w:t xml:space="preserve">One PA per CC with at least one 26dBm PA </w:t>
      </w:r>
      <w:r w:rsidR="00857BFC">
        <w:rPr>
          <w:rFonts w:eastAsia="Arial"/>
          <w:lang w:eastAsia="zh-CN"/>
        </w:rPr>
        <w:t>and no restriction on maximum separation bandwidth but UL MIMO cannot be supported.</w:t>
      </w:r>
    </w:p>
    <w:p w14:paraId="2C14617A" w14:textId="597D632D" w:rsidR="002B1B94" w:rsidRDefault="002B1B94" w:rsidP="00857BFC">
      <w:pPr>
        <w:spacing w:after="0"/>
        <w:rPr>
          <w:rFonts w:eastAsia="Arial"/>
          <w:lang w:eastAsia="zh-CN"/>
        </w:rPr>
      </w:pPr>
    </w:p>
    <w:p w14:paraId="3A52AD02" w14:textId="73E0083B" w:rsidR="00857BFC" w:rsidRDefault="00857BFC" w:rsidP="00857BFC">
      <w:pPr>
        <w:spacing w:after="0"/>
        <w:rPr>
          <w:rFonts w:eastAsia="Arial"/>
          <w:lang w:eastAsia="zh-CN"/>
        </w:rPr>
      </w:pPr>
      <w:r>
        <w:rPr>
          <w:rFonts w:eastAsia="Arial"/>
          <w:lang w:eastAsia="zh-CN"/>
        </w:rPr>
        <w:t>For the one PA per CC case, the reason why at least one of the PA need</w:t>
      </w:r>
      <w:r w:rsidR="00653B8A">
        <w:rPr>
          <w:rFonts w:eastAsia="Arial"/>
          <w:lang w:eastAsia="zh-CN"/>
        </w:rPr>
        <w:t>s</w:t>
      </w:r>
      <w:r>
        <w:rPr>
          <w:rFonts w:eastAsia="Arial"/>
          <w:lang w:eastAsia="zh-CN"/>
        </w:rPr>
        <w:t xml:space="preserve"> to support the maximum output power is that in the case that the RB allocation in one CC is of a larger BW than the other side with equal PSD, the larger TX BW </w:t>
      </w:r>
      <w:proofErr w:type="gramStart"/>
      <w:r>
        <w:rPr>
          <w:rFonts w:eastAsia="Arial"/>
          <w:lang w:eastAsia="zh-CN"/>
        </w:rPr>
        <w:t>has to</w:t>
      </w:r>
      <w:proofErr w:type="gramEnd"/>
      <w:r>
        <w:rPr>
          <w:rFonts w:eastAsia="Arial"/>
          <w:lang w:eastAsia="zh-CN"/>
        </w:rPr>
        <w:t xml:space="preserve"> exceed PCmax-3dB so that the sum reaches </w:t>
      </w:r>
      <w:proofErr w:type="spellStart"/>
      <w:r>
        <w:rPr>
          <w:rFonts w:eastAsia="Arial"/>
          <w:lang w:eastAsia="zh-CN"/>
        </w:rPr>
        <w:t>PCmax</w:t>
      </w:r>
      <w:proofErr w:type="spellEnd"/>
      <w:r>
        <w:rPr>
          <w:rFonts w:eastAsia="Arial"/>
          <w:lang w:eastAsia="zh-CN"/>
        </w:rPr>
        <w:t xml:space="preserve">. In the extreme case where </w:t>
      </w:r>
      <w:r w:rsidR="005B527B">
        <w:rPr>
          <w:rFonts w:eastAsia="Arial"/>
          <w:lang w:eastAsia="zh-CN"/>
        </w:rPr>
        <w:t>one 100MHz CC is fully allocated and the other one is 1RB, for equal PSD in each CC, the two CC power to reach PC1.5 would have to be:</w:t>
      </w:r>
    </w:p>
    <w:p w14:paraId="0DB4B8B2" w14:textId="6B51CC0E" w:rsidR="005B527B" w:rsidRDefault="005B527B" w:rsidP="005B527B">
      <w:pPr>
        <w:pStyle w:val="ListParagraph"/>
        <w:numPr>
          <w:ilvl w:val="0"/>
          <w:numId w:val="44"/>
        </w:numPr>
        <w:spacing w:after="0"/>
        <w:ind w:firstLineChars="0"/>
        <w:rPr>
          <w:rFonts w:eastAsia="Arial"/>
          <w:lang w:eastAsia="zh-CN"/>
        </w:rPr>
      </w:pPr>
      <w:r w:rsidRPr="005B527B">
        <w:rPr>
          <w:rFonts w:eastAsia="Arial"/>
          <w:lang w:eastAsia="zh-CN"/>
        </w:rPr>
        <w:t>TXBW1=273*0.36MHz=</w:t>
      </w:r>
      <w:r>
        <w:rPr>
          <w:rFonts w:eastAsia="Arial"/>
          <w:lang w:eastAsia="zh-CN"/>
        </w:rPr>
        <w:t>98.28MHz, TXBW2=1*0.36MHz=0.36MHz</w:t>
      </w:r>
    </w:p>
    <w:p w14:paraId="3C0E1DEA" w14:textId="41482AE9" w:rsidR="005B527B" w:rsidRDefault="005B527B" w:rsidP="005B527B">
      <w:pPr>
        <w:pStyle w:val="ListParagraph"/>
        <w:numPr>
          <w:ilvl w:val="0"/>
          <w:numId w:val="44"/>
        </w:numPr>
        <w:spacing w:after="0"/>
        <w:ind w:firstLineChars="0"/>
        <w:rPr>
          <w:rFonts w:eastAsia="Arial"/>
          <w:lang w:eastAsia="zh-CN"/>
        </w:rPr>
      </w:pPr>
      <w:r>
        <w:rPr>
          <w:rFonts w:eastAsia="Arial"/>
          <w:lang w:eastAsia="zh-CN"/>
        </w:rPr>
        <w:t>PCC1=28.98dBm, PCC2=4.6dBm</w:t>
      </w:r>
    </w:p>
    <w:p w14:paraId="08A30A89" w14:textId="1D9D3CEF" w:rsidR="005B527B" w:rsidRPr="005B527B" w:rsidRDefault="005B527B" w:rsidP="005B527B">
      <w:pPr>
        <w:pStyle w:val="ListParagraph"/>
        <w:numPr>
          <w:ilvl w:val="0"/>
          <w:numId w:val="44"/>
        </w:numPr>
        <w:spacing w:after="0"/>
        <w:ind w:firstLineChars="0"/>
        <w:rPr>
          <w:rFonts w:eastAsia="Arial"/>
          <w:lang w:eastAsia="zh-CN"/>
        </w:rPr>
      </w:pPr>
      <w:r>
        <w:rPr>
          <w:rFonts w:eastAsia="Arial"/>
          <w:lang w:eastAsia="zh-CN"/>
        </w:rPr>
        <w:t xml:space="preserve">With </w:t>
      </w:r>
      <w:r w:rsidRPr="005B527B">
        <w:rPr>
          <w:rFonts w:eastAsia="Arial"/>
          <w:highlight w:val="lightGray"/>
          <w:lang w:eastAsia="zh-CN"/>
        </w:rPr>
        <w:t>PCC1=29+10*</w:t>
      </w:r>
      <w:proofErr w:type="gramStart"/>
      <w:r w:rsidRPr="005B527B">
        <w:rPr>
          <w:rFonts w:eastAsia="Arial"/>
          <w:highlight w:val="lightGray"/>
          <w:lang w:eastAsia="zh-CN"/>
        </w:rPr>
        <w:t>log(</w:t>
      </w:r>
      <w:proofErr w:type="gramEnd"/>
      <w:r w:rsidRPr="005B527B">
        <w:rPr>
          <w:rFonts w:eastAsia="Arial"/>
          <w:highlight w:val="lightGray"/>
          <w:lang w:eastAsia="zh-CN"/>
        </w:rPr>
        <w:t>TXBW1/(TXBW1+TXBW2)) and PCC2=29+10*log(TXBW2/(TXBW1+TXBW2))</w:t>
      </w:r>
    </w:p>
    <w:p w14:paraId="4AA60A0C" w14:textId="77777777" w:rsidR="00857BFC" w:rsidRDefault="00857BFC" w:rsidP="00857BFC">
      <w:pPr>
        <w:spacing w:after="0"/>
        <w:rPr>
          <w:rFonts w:eastAsia="Arial"/>
          <w:lang w:eastAsia="zh-CN"/>
        </w:rPr>
      </w:pPr>
    </w:p>
    <w:p w14:paraId="366B961B" w14:textId="4F325A78" w:rsidR="00804629" w:rsidRPr="00804629" w:rsidRDefault="00804629" w:rsidP="00857BFC">
      <w:pPr>
        <w:spacing w:after="0"/>
        <w:rPr>
          <w:rFonts w:eastAsia="Arial"/>
          <w:b/>
          <w:bCs/>
          <w:lang w:eastAsia="zh-CN"/>
        </w:rPr>
      </w:pPr>
      <w:r w:rsidRPr="00804629">
        <w:rPr>
          <w:rFonts w:eastAsia="Arial"/>
          <w:b/>
          <w:bCs/>
          <w:lang w:eastAsia="zh-CN"/>
        </w:rPr>
        <w:t xml:space="preserve">Observation: </w:t>
      </w:r>
      <w:r w:rsidR="00857BFC" w:rsidRPr="00804629">
        <w:rPr>
          <w:rFonts w:eastAsia="Arial"/>
          <w:b/>
          <w:bCs/>
          <w:lang w:eastAsia="zh-CN"/>
        </w:rPr>
        <w:t>Some of the above cases cannot be extended to PC1.5 as they require at least one PA to supports 29dBm</w:t>
      </w:r>
      <w:r w:rsidR="00E01942">
        <w:rPr>
          <w:rFonts w:eastAsia="Arial"/>
          <w:b/>
          <w:bCs/>
          <w:lang w:eastAsia="zh-CN"/>
        </w:rPr>
        <w:t xml:space="preserve"> and are not compatible with the baseline architecture of single CC PC1.5 with two 26dBm PAs and 2Tx</w:t>
      </w:r>
      <w:r w:rsidR="00857BFC" w:rsidRPr="00804629">
        <w:rPr>
          <w:rFonts w:eastAsia="Arial"/>
          <w:b/>
          <w:bCs/>
          <w:lang w:eastAsia="zh-CN"/>
        </w:rPr>
        <w:t xml:space="preserve">. </w:t>
      </w:r>
    </w:p>
    <w:p w14:paraId="00E012A0" w14:textId="77777777" w:rsidR="00804629" w:rsidRDefault="00804629" w:rsidP="00857BFC">
      <w:pPr>
        <w:spacing w:after="0"/>
        <w:rPr>
          <w:rFonts w:eastAsia="Arial"/>
          <w:lang w:eastAsia="zh-CN"/>
        </w:rPr>
      </w:pPr>
    </w:p>
    <w:p w14:paraId="7DD37296" w14:textId="68C789C8" w:rsidR="00857BFC" w:rsidRDefault="00857BFC" w:rsidP="00857BFC">
      <w:pPr>
        <w:spacing w:after="0"/>
        <w:rPr>
          <w:rFonts w:eastAsia="Arial"/>
          <w:lang w:eastAsia="zh-CN"/>
        </w:rPr>
      </w:pPr>
      <w:r>
        <w:rPr>
          <w:rFonts w:eastAsia="Arial"/>
          <w:lang w:eastAsia="zh-CN"/>
        </w:rPr>
        <w:t xml:space="preserve">For the contiguous case, since the UE already </w:t>
      </w:r>
      <w:r w:rsidR="00653B8A">
        <w:rPr>
          <w:rFonts w:eastAsia="Arial"/>
          <w:lang w:eastAsia="zh-CN"/>
        </w:rPr>
        <w:t>must</w:t>
      </w:r>
      <w:r>
        <w:rPr>
          <w:rFonts w:eastAsia="Arial"/>
          <w:lang w:eastAsia="zh-CN"/>
        </w:rPr>
        <w:t xml:space="preserve"> support 2TX for the single CC it is not useful </w:t>
      </w:r>
      <w:r w:rsidR="005B527B">
        <w:rPr>
          <w:rFonts w:eastAsia="Arial"/>
          <w:lang w:eastAsia="zh-CN"/>
        </w:rPr>
        <w:t xml:space="preserve">to support the other cases </w:t>
      </w:r>
      <w:r w:rsidR="00653B8A">
        <w:rPr>
          <w:rFonts w:eastAsia="Arial"/>
          <w:lang w:eastAsia="zh-CN"/>
        </w:rPr>
        <w:t>due to their</w:t>
      </w:r>
      <w:r w:rsidR="005B527B">
        <w:rPr>
          <w:rFonts w:eastAsia="Arial"/>
          <w:lang w:eastAsia="zh-CN"/>
        </w:rPr>
        <w:t xml:space="preserve"> limitations</w:t>
      </w:r>
      <w:r w:rsidR="00653B8A">
        <w:rPr>
          <w:rFonts w:eastAsia="Arial"/>
          <w:lang w:eastAsia="zh-CN"/>
        </w:rPr>
        <w:t xml:space="preserve"> in reaching 29dBm</w:t>
      </w:r>
      <w:r w:rsidR="005B527B">
        <w:rPr>
          <w:rFonts w:eastAsia="Arial"/>
          <w:lang w:eastAsia="zh-CN"/>
        </w:rPr>
        <w:t>.</w:t>
      </w:r>
    </w:p>
    <w:p w14:paraId="336968FA" w14:textId="6DED05B3" w:rsidR="005B527B" w:rsidRDefault="005B527B" w:rsidP="00857BFC">
      <w:pPr>
        <w:spacing w:after="0"/>
        <w:rPr>
          <w:rFonts w:eastAsia="Arial"/>
          <w:lang w:eastAsia="zh-CN"/>
        </w:rPr>
      </w:pPr>
    </w:p>
    <w:p w14:paraId="57D1BC9F" w14:textId="77777777" w:rsidR="00E01942" w:rsidRDefault="005B527B" w:rsidP="00857BFC">
      <w:pPr>
        <w:spacing w:after="0"/>
        <w:rPr>
          <w:rFonts w:eastAsia="Arial"/>
          <w:b/>
          <w:bCs/>
          <w:lang w:eastAsia="zh-CN"/>
        </w:rPr>
      </w:pPr>
      <w:r w:rsidRPr="00804629">
        <w:rPr>
          <w:rFonts w:eastAsia="Arial"/>
          <w:b/>
          <w:bCs/>
          <w:lang w:eastAsia="zh-CN"/>
        </w:rPr>
        <w:t xml:space="preserve">Proposal on intra-band contiguous PC1.5 ULCA architecture: </w:t>
      </w:r>
    </w:p>
    <w:p w14:paraId="346DFC8F" w14:textId="77777777" w:rsidR="00E01942" w:rsidRDefault="005B527B" w:rsidP="00E01942">
      <w:pPr>
        <w:pStyle w:val="ListParagraph"/>
        <w:numPr>
          <w:ilvl w:val="0"/>
          <w:numId w:val="46"/>
        </w:numPr>
        <w:spacing w:after="0"/>
        <w:ind w:firstLineChars="0"/>
        <w:rPr>
          <w:rFonts w:eastAsia="Arial"/>
          <w:b/>
          <w:bCs/>
          <w:lang w:eastAsia="zh-CN"/>
        </w:rPr>
      </w:pPr>
      <w:r w:rsidRPr="00E01942">
        <w:rPr>
          <w:rFonts w:eastAsia="Arial"/>
          <w:b/>
          <w:bCs/>
          <w:lang w:eastAsia="zh-CN"/>
        </w:rPr>
        <w:t>On</w:t>
      </w:r>
      <w:r w:rsidR="00804629" w:rsidRPr="00E01942">
        <w:rPr>
          <w:rFonts w:eastAsia="Arial"/>
          <w:b/>
          <w:bCs/>
          <w:lang w:eastAsia="zh-CN"/>
        </w:rPr>
        <w:t>l</w:t>
      </w:r>
      <w:r w:rsidRPr="00E01942">
        <w:rPr>
          <w:rFonts w:eastAsia="Arial"/>
          <w:b/>
          <w:bCs/>
          <w:lang w:eastAsia="zh-CN"/>
        </w:rPr>
        <w:t xml:space="preserve">y the </w:t>
      </w:r>
      <w:r w:rsidR="00804629" w:rsidRPr="00E01942">
        <w:rPr>
          <w:rFonts w:eastAsia="Arial"/>
          <w:b/>
          <w:bCs/>
          <w:lang w:eastAsia="zh-CN"/>
        </w:rPr>
        <w:t xml:space="preserve">two 26dBm PA architecture using 2Tx as already needed for the 1CC fall back is specified. </w:t>
      </w:r>
    </w:p>
    <w:p w14:paraId="6D7EAA57" w14:textId="0BFF4BB9" w:rsidR="00E01942" w:rsidRDefault="00804629" w:rsidP="00E01942">
      <w:pPr>
        <w:pStyle w:val="ListParagraph"/>
        <w:numPr>
          <w:ilvl w:val="0"/>
          <w:numId w:val="46"/>
        </w:numPr>
        <w:spacing w:after="0"/>
        <w:ind w:firstLineChars="0"/>
        <w:rPr>
          <w:rFonts w:eastAsia="Arial"/>
          <w:b/>
          <w:bCs/>
          <w:lang w:eastAsia="zh-CN"/>
        </w:rPr>
      </w:pPr>
      <w:r w:rsidRPr="00E01942">
        <w:rPr>
          <w:rFonts w:eastAsia="Arial"/>
          <w:b/>
          <w:bCs/>
          <w:lang w:eastAsia="zh-CN"/>
        </w:rPr>
        <w:t xml:space="preserve">Each PA </w:t>
      </w:r>
      <w:r w:rsidR="00653B8A">
        <w:rPr>
          <w:rFonts w:eastAsia="Arial"/>
          <w:b/>
          <w:bCs/>
          <w:lang w:eastAsia="zh-CN"/>
        </w:rPr>
        <w:t>must</w:t>
      </w:r>
      <w:r w:rsidRPr="00E01942">
        <w:rPr>
          <w:rFonts w:eastAsia="Arial"/>
          <w:b/>
          <w:bCs/>
          <w:lang w:eastAsia="zh-CN"/>
        </w:rPr>
        <w:t xml:space="preserve"> support the two CCs and </w:t>
      </w:r>
      <w:proofErr w:type="spellStart"/>
      <w:r w:rsidRPr="00E01942">
        <w:rPr>
          <w:rFonts w:eastAsia="Arial"/>
          <w:b/>
          <w:bCs/>
          <w:lang w:eastAsia="zh-CN"/>
        </w:rPr>
        <w:t>TxD</w:t>
      </w:r>
      <w:proofErr w:type="spellEnd"/>
      <w:r w:rsidRPr="00E01942">
        <w:rPr>
          <w:rFonts w:eastAsia="Arial"/>
          <w:b/>
          <w:bCs/>
          <w:lang w:eastAsia="zh-CN"/>
        </w:rPr>
        <w:t xml:space="preserve"> is default and UL MIMO is optional. </w:t>
      </w:r>
    </w:p>
    <w:p w14:paraId="39009DC9" w14:textId="7A7ECCAB" w:rsidR="005B527B" w:rsidRPr="00E01942" w:rsidRDefault="00804629" w:rsidP="00E01942">
      <w:pPr>
        <w:pStyle w:val="ListParagraph"/>
        <w:numPr>
          <w:ilvl w:val="0"/>
          <w:numId w:val="46"/>
        </w:numPr>
        <w:spacing w:after="0"/>
        <w:ind w:firstLineChars="0"/>
        <w:rPr>
          <w:rFonts w:eastAsia="Arial"/>
          <w:b/>
          <w:bCs/>
          <w:lang w:eastAsia="zh-CN"/>
        </w:rPr>
      </w:pPr>
      <w:r w:rsidRPr="00E01942">
        <w:rPr>
          <w:rFonts w:eastAsia="Arial"/>
          <w:b/>
          <w:bCs/>
          <w:lang w:eastAsia="zh-CN"/>
        </w:rPr>
        <w:t>This has no restriction in terms of supporting the 200MHz maximum aggregated BW or allocation BW in each CC.</w:t>
      </w:r>
    </w:p>
    <w:p w14:paraId="36815E9B" w14:textId="1C1724DF" w:rsidR="00804629" w:rsidRDefault="00804629" w:rsidP="00857BFC">
      <w:pPr>
        <w:spacing w:after="0"/>
        <w:rPr>
          <w:rFonts w:eastAsia="Arial"/>
          <w:b/>
          <w:bCs/>
          <w:lang w:eastAsia="zh-CN"/>
        </w:rPr>
      </w:pPr>
    </w:p>
    <w:p w14:paraId="2FAD83B2" w14:textId="1B4F5EEA" w:rsidR="00E01942" w:rsidRDefault="00804629" w:rsidP="00857BFC">
      <w:pPr>
        <w:spacing w:after="0"/>
        <w:rPr>
          <w:rFonts w:eastAsia="Arial"/>
          <w:lang w:eastAsia="zh-CN"/>
        </w:rPr>
      </w:pPr>
      <w:r w:rsidRPr="00E01942">
        <w:rPr>
          <w:rFonts w:eastAsia="Arial"/>
          <w:lang w:eastAsia="zh-CN"/>
        </w:rPr>
        <w:t xml:space="preserve">For </w:t>
      </w:r>
      <w:r w:rsidR="00E01942" w:rsidRPr="00E01942">
        <w:rPr>
          <w:rFonts w:eastAsia="Arial"/>
          <w:lang w:eastAsia="zh-CN"/>
        </w:rPr>
        <w:t xml:space="preserve">the non-contiguous case, </w:t>
      </w:r>
      <w:r w:rsidR="00E01942">
        <w:rPr>
          <w:rFonts w:eastAsia="Arial"/>
          <w:lang w:eastAsia="zh-CN"/>
        </w:rPr>
        <w:t>the issue is that the use of two 26dBm PAs with 2Tx</w:t>
      </w:r>
      <w:r w:rsidR="00653B8A">
        <w:rPr>
          <w:rFonts w:eastAsia="Arial"/>
          <w:lang w:eastAsia="zh-CN"/>
        </w:rPr>
        <w:t>,</w:t>
      </w:r>
      <w:r w:rsidR="00E01942">
        <w:rPr>
          <w:rFonts w:eastAsia="Arial"/>
          <w:lang w:eastAsia="zh-CN"/>
        </w:rPr>
        <w:t xml:space="preserve"> </w:t>
      </w:r>
      <w:r w:rsidR="00653B8A">
        <w:rPr>
          <w:rFonts w:eastAsia="Arial"/>
          <w:lang w:eastAsia="zh-CN"/>
        </w:rPr>
        <w:t xml:space="preserve">while </w:t>
      </w:r>
      <w:proofErr w:type="spellStart"/>
      <w:r w:rsidR="00653B8A">
        <w:rPr>
          <w:rFonts w:eastAsia="Arial"/>
          <w:lang w:eastAsia="zh-CN"/>
        </w:rPr>
        <w:t>beng</w:t>
      </w:r>
      <w:proofErr w:type="spellEnd"/>
      <w:r w:rsidR="00E01942">
        <w:rPr>
          <w:rFonts w:eastAsia="Arial"/>
          <w:lang w:eastAsia="zh-CN"/>
        </w:rPr>
        <w:t xml:space="preserve"> the logical approach based on the one CC case</w:t>
      </w:r>
      <w:r w:rsidR="00653B8A">
        <w:rPr>
          <w:rFonts w:eastAsia="Arial"/>
          <w:lang w:eastAsia="zh-CN"/>
        </w:rPr>
        <w:t>,</w:t>
      </w:r>
      <w:r w:rsidR="00E01942">
        <w:rPr>
          <w:rFonts w:eastAsia="Arial"/>
          <w:lang w:eastAsia="zh-CN"/>
        </w:rPr>
        <w:t xml:space="preserve"> is far too limited in terms of allowed separation BW and gap</w:t>
      </w:r>
      <w:r w:rsidR="00247734">
        <w:rPr>
          <w:rFonts w:eastAsia="Arial"/>
          <w:lang w:eastAsia="zh-CN"/>
        </w:rPr>
        <w:t>,</w:t>
      </w:r>
      <w:r w:rsidR="00E01942">
        <w:rPr>
          <w:rFonts w:eastAsia="Arial"/>
          <w:lang w:eastAsia="zh-CN"/>
        </w:rPr>
        <w:t xml:space="preserve"> that it cannot support most of the n77/78(2A) cases. The one PA per CC 2x26dBm case can support any gap or separation BW but has limitations in terms of RB allocation BW imbalance and cannot support UL MIMO. Still, for Release 19 this is the most versatile approach, and the RB BW imbalance could be addressed with a specific MPR term.</w:t>
      </w:r>
    </w:p>
    <w:p w14:paraId="2D3EE462" w14:textId="60CC4397" w:rsidR="00E01942" w:rsidRDefault="00E01942" w:rsidP="00857BFC">
      <w:pPr>
        <w:spacing w:after="0"/>
        <w:rPr>
          <w:rFonts w:eastAsia="Arial"/>
          <w:lang w:eastAsia="zh-CN"/>
        </w:rPr>
      </w:pPr>
    </w:p>
    <w:p w14:paraId="514E701D" w14:textId="77777777" w:rsidR="00E01942" w:rsidRDefault="00E01942" w:rsidP="00E01942">
      <w:pPr>
        <w:spacing w:after="0"/>
        <w:rPr>
          <w:rFonts w:eastAsia="Arial"/>
          <w:b/>
          <w:bCs/>
          <w:lang w:eastAsia="zh-CN"/>
        </w:rPr>
      </w:pPr>
      <w:r w:rsidRPr="00804629">
        <w:rPr>
          <w:rFonts w:eastAsia="Arial"/>
          <w:b/>
          <w:bCs/>
          <w:lang w:eastAsia="zh-CN"/>
        </w:rPr>
        <w:t xml:space="preserve">Proposal on intra-band </w:t>
      </w:r>
      <w:r>
        <w:rPr>
          <w:rFonts w:eastAsia="Arial"/>
          <w:b/>
          <w:bCs/>
          <w:lang w:eastAsia="zh-CN"/>
        </w:rPr>
        <w:t>non-</w:t>
      </w:r>
      <w:r w:rsidRPr="00804629">
        <w:rPr>
          <w:rFonts w:eastAsia="Arial"/>
          <w:b/>
          <w:bCs/>
          <w:lang w:eastAsia="zh-CN"/>
        </w:rPr>
        <w:t xml:space="preserve">contiguous PC1.5 ULCA architecture: </w:t>
      </w:r>
    </w:p>
    <w:p w14:paraId="76844099" w14:textId="77777777" w:rsidR="00E01942" w:rsidRDefault="00E01942" w:rsidP="00E01942">
      <w:pPr>
        <w:pStyle w:val="ListParagraph"/>
        <w:numPr>
          <w:ilvl w:val="0"/>
          <w:numId w:val="45"/>
        </w:numPr>
        <w:spacing w:after="0"/>
        <w:ind w:firstLineChars="0"/>
        <w:rPr>
          <w:rFonts w:eastAsia="Arial"/>
          <w:b/>
          <w:bCs/>
          <w:lang w:eastAsia="zh-CN"/>
        </w:rPr>
      </w:pPr>
      <w:r w:rsidRPr="00E01942">
        <w:rPr>
          <w:rFonts w:eastAsia="Arial"/>
          <w:b/>
          <w:bCs/>
          <w:lang w:eastAsia="zh-CN"/>
        </w:rPr>
        <w:t xml:space="preserve">Only the two 26dBm PA architecture using </w:t>
      </w:r>
      <w:r>
        <w:rPr>
          <w:rFonts w:eastAsia="Arial"/>
          <w:b/>
          <w:bCs/>
          <w:lang w:eastAsia="zh-CN"/>
        </w:rPr>
        <w:t xml:space="preserve">one PA per CC </w:t>
      </w:r>
      <w:r w:rsidRPr="00E01942">
        <w:rPr>
          <w:rFonts w:eastAsia="Arial"/>
          <w:b/>
          <w:bCs/>
          <w:lang w:eastAsia="zh-CN"/>
        </w:rPr>
        <w:t xml:space="preserve">is specified. </w:t>
      </w:r>
    </w:p>
    <w:p w14:paraId="5DF0D716" w14:textId="77777777" w:rsidR="00811569" w:rsidRDefault="00E01942" w:rsidP="00E01942">
      <w:pPr>
        <w:pStyle w:val="ListParagraph"/>
        <w:numPr>
          <w:ilvl w:val="0"/>
          <w:numId w:val="45"/>
        </w:numPr>
        <w:spacing w:after="0"/>
        <w:ind w:firstLineChars="0"/>
        <w:rPr>
          <w:rFonts w:eastAsia="Arial"/>
          <w:b/>
          <w:bCs/>
          <w:lang w:eastAsia="zh-CN"/>
        </w:rPr>
      </w:pPr>
      <w:r>
        <w:rPr>
          <w:rFonts w:eastAsia="Arial"/>
          <w:b/>
          <w:bCs/>
          <w:lang w:eastAsia="zh-CN"/>
        </w:rPr>
        <w:t>A specific MPR term is added to account for the case where there is an imbalance between the two CC allocated RB BW</w:t>
      </w:r>
      <w:r w:rsidR="00811569">
        <w:rPr>
          <w:rFonts w:eastAsia="Arial"/>
          <w:b/>
          <w:bCs/>
          <w:lang w:eastAsia="zh-CN"/>
        </w:rPr>
        <w:t xml:space="preserve"> and PC1.5 maximum power cannot be reached for large RX BW imbalances</w:t>
      </w:r>
    </w:p>
    <w:p w14:paraId="04EC8C14" w14:textId="43EB3B30" w:rsidR="00E01942" w:rsidRDefault="00E01942" w:rsidP="00E01942">
      <w:pPr>
        <w:pStyle w:val="ListParagraph"/>
        <w:numPr>
          <w:ilvl w:val="0"/>
          <w:numId w:val="45"/>
        </w:numPr>
        <w:spacing w:after="0"/>
        <w:ind w:firstLineChars="0"/>
        <w:rPr>
          <w:rFonts w:eastAsia="Arial"/>
          <w:b/>
          <w:bCs/>
          <w:lang w:eastAsia="zh-CN"/>
        </w:rPr>
      </w:pPr>
      <w:r w:rsidRPr="00E01942">
        <w:rPr>
          <w:rFonts w:eastAsia="Arial"/>
          <w:b/>
          <w:bCs/>
          <w:lang w:eastAsia="zh-CN"/>
        </w:rPr>
        <w:t xml:space="preserve">This has no restriction in terms of supporting </w:t>
      </w:r>
      <w:r w:rsidR="00811569">
        <w:rPr>
          <w:rFonts w:eastAsia="Arial"/>
          <w:b/>
          <w:bCs/>
          <w:lang w:eastAsia="zh-CN"/>
        </w:rPr>
        <w:t>6</w:t>
      </w:r>
      <w:r w:rsidRPr="00E01942">
        <w:rPr>
          <w:rFonts w:eastAsia="Arial"/>
          <w:b/>
          <w:bCs/>
          <w:lang w:eastAsia="zh-CN"/>
        </w:rPr>
        <w:t xml:space="preserve">00MHz maximum </w:t>
      </w:r>
      <w:r w:rsidR="00811569">
        <w:rPr>
          <w:rFonts w:eastAsia="Arial"/>
          <w:b/>
          <w:bCs/>
          <w:lang w:eastAsia="zh-CN"/>
        </w:rPr>
        <w:t>separation</w:t>
      </w:r>
      <w:r w:rsidRPr="00E01942">
        <w:rPr>
          <w:rFonts w:eastAsia="Arial"/>
          <w:b/>
          <w:bCs/>
          <w:lang w:eastAsia="zh-CN"/>
        </w:rPr>
        <w:t xml:space="preserve"> BW or </w:t>
      </w:r>
      <w:r w:rsidR="00811569">
        <w:rPr>
          <w:rFonts w:eastAsia="Arial"/>
          <w:b/>
          <w:bCs/>
          <w:lang w:eastAsia="zh-CN"/>
        </w:rPr>
        <w:t>gap sizes</w:t>
      </w:r>
      <w:r w:rsidRPr="00E01942">
        <w:rPr>
          <w:rFonts w:eastAsia="Arial"/>
          <w:b/>
          <w:bCs/>
          <w:lang w:eastAsia="zh-CN"/>
        </w:rPr>
        <w:t>.</w:t>
      </w:r>
    </w:p>
    <w:p w14:paraId="324A6FCA" w14:textId="224B22FD" w:rsidR="009354B5" w:rsidRPr="00E01942" w:rsidRDefault="009354B5" w:rsidP="00E01942">
      <w:pPr>
        <w:pStyle w:val="ListParagraph"/>
        <w:numPr>
          <w:ilvl w:val="0"/>
          <w:numId w:val="45"/>
        </w:numPr>
        <w:spacing w:after="0"/>
        <w:ind w:firstLineChars="0"/>
        <w:rPr>
          <w:rFonts w:eastAsia="Arial"/>
          <w:b/>
          <w:bCs/>
          <w:lang w:eastAsia="zh-CN"/>
        </w:rPr>
      </w:pPr>
      <w:r>
        <w:rPr>
          <w:rFonts w:eastAsia="Arial"/>
          <w:b/>
          <w:bCs/>
          <w:lang w:eastAsia="zh-CN"/>
        </w:rPr>
        <w:t>UL MIMO cannot be supported</w:t>
      </w:r>
      <w:r w:rsidR="00247734">
        <w:rPr>
          <w:rFonts w:eastAsia="Arial"/>
          <w:b/>
          <w:bCs/>
          <w:lang w:eastAsia="zh-CN"/>
        </w:rPr>
        <w:t>.</w:t>
      </w:r>
    </w:p>
    <w:p w14:paraId="521CFF28" w14:textId="2EC5438E" w:rsidR="00811569" w:rsidRDefault="00811569" w:rsidP="00811569">
      <w:pPr>
        <w:pStyle w:val="Heading2"/>
        <w:rPr>
          <w:rFonts w:eastAsia="Arial"/>
          <w:lang w:eastAsia="zh-CN"/>
        </w:rPr>
      </w:pPr>
      <w:r>
        <w:rPr>
          <w:rFonts w:eastAsia="Arial"/>
          <w:lang w:eastAsia="zh-CN"/>
        </w:rPr>
        <w:t>2.2 Accounting for RB allocation BW imbalance for PC1.5 intra-band non-contiguous ULCA.</w:t>
      </w:r>
    </w:p>
    <w:p w14:paraId="1AB1E24A" w14:textId="7CEC4108" w:rsidR="00E01942" w:rsidRDefault="00811569" w:rsidP="00857BFC">
      <w:pPr>
        <w:spacing w:after="0"/>
        <w:rPr>
          <w:rFonts w:eastAsia="Arial"/>
          <w:lang w:eastAsia="zh-CN"/>
        </w:rPr>
      </w:pPr>
      <w:r>
        <w:rPr>
          <w:rFonts w:eastAsia="Arial"/>
          <w:lang w:eastAsia="zh-CN"/>
        </w:rPr>
        <w:t xml:space="preserve">Based on the above proposal, each CC is limited to 26dBm which means that in </w:t>
      </w:r>
      <w:r w:rsidR="00653B8A">
        <w:rPr>
          <w:rFonts w:eastAsia="Arial"/>
          <w:lang w:eastAsia="zh-CN"/>
        </w:rPr>
        <w:t xml:space="preserve">the </w:t>
      </w:r>
      <w:r>
        <w:rPr>
          <w:rFonts w:eastAsia="Arial"/>
          <w:lang w:eastAsia="zh-CN"/>
        </w:rPr>
        <w:t>case of RB BW imbalance and equal PSD, the CC with the largest RB BW is limited to 26dBm and the other CC is lower than 26dBm and thus the total is &lt;29dBm.</w:t>
      </w:r>
    </w:p>
    <w:p w14:paraId="25A21073" w14:textId="555DD967" w:rsidR="00811569" w:rsidRDefault="00811569" w:rsidP="00857BFC">
      <w:pPr>
        <w:spacing w:after="0"/>
        <w:rPr>
          <w:rFonts w:eastAsia="Arial"/>
          <w:lang w:eastAsia="zh-CN"/>
        </w:rPr>
      </w:pPr>
    </w:p>
    <w:p w14:paraId="0C6A2527" w14:textId="61504650" w:rsidR="00811569" w:rsidRDefault="00811569" w:rsidP="00857BFC">
      <w:pPr>
        <w:spacing w:after="0"/>
        <w:rPr>
          <w:rFonts w:eastAsia="Arial"/>
          <w:lang w:eastAsia="zh-CN"/>
        </w:rPr>
      </w:pPr>
      <w:r>
        <w:rPr>
          <w:rFonts w:eastAsia="Arial"/>
          <w:lang w:eastAsia="zh-CN"/>
        </w:rPr>
        <w:t>The missing power can be calculated from the RB BW ratio:</w:t>
      </w:r>
    </w:p>
    <w:p w14:paraId="5FA662DF" w14:textId="32282214" w:rsidR="00811569" w:rsidRDefault="000324C3" w:rsidP="000324C3">
      <w:pPr>
        <w:pStyle w:val="ListParagraph"/>
        <w:numPr>
          <w:ilvl w:val="0"/>
          <w:numId w:val="47"/>
        </w:numPr>
        <w:spacing w:after="0"/>
        <w:ind w:firstLineChars="0"/>
        <w:rPr>
          <w:rFonts w:eastAsia="Arial"/>
          <w:lang w:eastAsia="zh-CN"/>
        </w:rPr>
      </w:pPr>
      <w:r>
        <w:rPr>
          <w:rFonts w:eastAsia="Arial"/>
          <w:lang w:eastAsia="zh-CN"/>
        </w:rPr>
        <w:t>TXBW1=</w:t>
      </w:r>
      <w:r w:rsidR="002257D5">
        <w:rPr>
          <w:rFonts w:eastAsia="Arial"/>
          <w:lang w:eastAsia="zh-CN"/>
        </w:rPr>
        <w:t>12*</w:t>
      </w:r>
      <w:r>
        <w:rPr>
          <w:rFonts w:eastAsia="Arial"/>
          <w:lang w:eastAsia="zh-CN"/>
        </w:rPr>
        <w:t>LCRB1*SCS1, TXBW2=</w:t>
      </w:r>
      <w:r w:rsidR="002257D5">
        <w:rPr>
          <w:rFonts w:eastAsia="Arial"/>
          <w:lang w:eastAsia="zh-CN"/>
        </w:rPr>
        <w:t>12*</w:t>
      </w:r>
      <w:r>
        <w:rPr>
          <w:rFonts w:eastAsia="Arial"/>
          <w:lang w:eastAsia="zh-CN"/>
        </w:rPr>
        <w:t>LCRB2*SCS2</w:t>
      </w:r>
    </w:p>
    <w:p w14:paraId="3ED3A7EC" w14:textId="5603DBAD" w:rsidR="000324C3" w:rsidRDefault="000324C3" w:rsidP="000324C3">
      <w:pPr>
        <w:pStyle w:val="ListParagraph"/>
        <w:numPr>
          <w:ilvl w:val="0"/>
          <w:numId w:val="47"/>
        </w:numPr>
        <w:spacing w:after="0"/>
        <w:ind w:firstLineChars="0"/>
        <w:rPr>
          <w:rFonts w:eastAsia="Arial"/>
          <w:lang w:eastAsia="zh-CN"/>
        </w:rPr>
      </w:pPr>
      <w:r>
        <w:rPr>
          <w:rFonts w:eastAsia="Arial"/>
          <w:lang w:eastAsia="zh-CN"/>
        </w:rPr>
        <w:t>For TXBW1</w:t>
      </w:r>
      <w:r w:rsidR="00C972C7">
        <w:rPr>
          <w:rFonts w:eastAsia="Arial"/>
          <w:lang w:eastAsia="zh-CN"/>
        </w:rPr>
        <w:t xml:space="preserve"> ≥ </w:t>
      </w:r>
      <w:r>
        <w:rPr>
          <w:rFonts w:eastAsia="Arial"/>
          <w:lang w:eastAsia="zh-CN"/>
        </w:rPr>
        <w:t xml:space="preserve">TXBW2, </w:t>
      </w:r>
    </w:p>
    <w:p w14:paraId="2A1B5F46" w14:textId="0C69876D" w:rsidR="000324C3" w:rsidRDefault="000324C3" w:rsidP="000324C3">
      <w:pPr>
        <w:pStyle w:val="ListParagraph"/>
        <w:numPr>
          <w:ilvl w:val="0"/>
          <w:numId w:val="47"/>
        </w:numPr>
        <w:spacing w:after="0"/>
        <w:ind w:firstLineChars="0"/>
        <w:rPr>
          <w:rFonts w:eastAsia="Arial"/>
          <w:lang w:eastAsia="zh-CN"/>
        </w:rPr>
      </w:pPr>
      <w:proofErr w:type="spellStart"/>
      <w:r w:rsidRPr="002257D5">
        <w:rPr>
          <w:rFonts w:eastAsia="Arial"/>
          <w:lang w:eastAsia="zh-CN"/>
        </w:rPr>
        <w:t>PCmax</w:t>
      </w:r>
      <w:proofErr w:type="spellEnd"/>
      <w:r w:rsidRPr="002257D5">
        <w:rPr>
          <w:rFonts w:eastAsia="Arial"/>
          <w:lang w:eastAsia="zh-CN"/>
        </w:rPr>
        <w:t>=</w:t>
      </w:r>
      <w:r w:rsidR="00C972C7" w:rsidRPr="002257D5">
        <w:rPr>
          <w:rFonts w:eastAsia="Arial"/>
          <w:lang w:eastAsia="zh-CN"/>
        </w:rPr>
        <w:t>10*log(10</w:t>
      </w:r>
      <w:r w:rsidR="002257D5" w:rsidRPr="002257D5">
        <w:rPr>
          <w:rFonts w:eastAsia="Arial"/>
          <w:lang w:eastAsia="zh-CN"/>
        </w:rPr>
        <w:t>^(2</w:t>
      </w:r>
      <w:r w:rsidR="009354B5">
        <w:rPr>
          <w:rFonts w:eastAsia="Arial"/>
          <w:lang w:eastAsia="zh-CN"/>
        </w:rPr>
        <w:t>6</w:t>
      </w:r>
      <w:r w:rsidR="002257D5" w:rsidRPr="002257D5">
        <w:rPr>
          <w:rFonts w:eastAsia="Arial"/>
          <w:lang w:eastAsia="zh-CN"/>
        </w:rPr>
        <w:t>/</w:t>
      </w:r>
      <w:proofErr w:type="gramStart"/>
      <w:r w:rsidR="002257D5" w:rsidRPr="002257D5">
        <w:rPr>
          <w:rFonts w:eastAsia="Arial"/>
          <w:lang w:eastAsia="zh-CN"/>
        </w:rPr>
        <w:t>10)+</w:t>
      </w:r>
      <w:proofErr w:type="gramEnd"/>
      <w:r w:rsidR="002257D5" w:rsidRPr="002257D5">
        <w:rPr>
          <w:rFonts w:eastAsia="Arial"/>
          <w:lang w:eastAsia="zh-CN"/>
        </w:rPr>
        <w:t>10^((26-10*log(TXBW1/TXB</w:t>
      </w:r>
      <w:r w:rsidR="002257D5">
        <w:rPr>
          <w:rFonts w:eastAsia="Arial"/>
          <w:lang w:eastAsia="zh-CN"/>
        </w:rPr>
        <w:t>W2))/10))</w:t>
      </w:r>
    </w:p>
    <w:p w14:paraId="2B09FFF5" w14:textId="34EFFFA5" w:rsidR="002257D5" w:rsidRPr="002257D5" w:rsidRDefault="002257D5" w:rsidP="002257D5">
      <w:pPr>
        <w:pStyle w:val="ListParagraph"/>
        <w:numPr>
          <w:ilvl w:val="0"/>
          <w:numId w:val="47"/>
        </w:numPr>
        <w:spacing w:after="0"/>
        <w:ind w:firstLineChars="0"/>
        <w:rPr>
          <w:rFonts w:eastAsia="Arial"/>
          <w:lang w:eastAsia="zh-CN"/>
        </w:rPr>
      </w:pPr>
      <w:r w:rsidRPr="002257D5">
        <w:rPr>
          <w:rFonts w:eastAsia="Arial"/>
          <w:lang w:eastAsia="zh-CN"/>
        </w:rPr>
        <w:t>PCmax=10*log(10^(2</w:t>
      </w:r>
      <w:r w:rsidR="009354B5">
        <w:rPr>
          <w:rFonts w:eastAsia="Arial"/>
          <w:lang w:eastAsia="zh-CN"/>
        </w:rPr>
        <w:t>6</w:t>
      </w:r>
      <w:r w:rsidRPr="002257D5">
        <w:rPr>
          <w:rFonts w:eastAsia="Arial"/>
          <w:lang w:eastAsia="zh-CN"/>
        </w:rPr>
        <w:t>/</w:t>
      </w:r>
      <w:proofErr w:type="gramStart"/>
      <w:r w:rsidRPr="002257D5">
        <w:rPr>
          <w:rFonts w:eastAsia="Arial"/>
          <w:lang w:eastAsia="zh-CN"/>
        </w:rPr>
        <w:t>10)+</w:t>
      </w:r>
      <w:proofErr w:type="gramEnd"/>
      <w:r w:rsidRPr="002257D5">
        <w:rPr>
          <w:rFonts w:eastAsia="Arial"/>
          <w:lang w:eastAsia="zh-CN"/>
        </w:rPr>
        <w:t>10^((26-10*log(</w:t>
      </w:r>
      <w:r>
        <w:rPr>
          <w:rFonts w:eastAsia="Arial"/>
          <w:lang w:eastAsia="zh-CN"/>
        </w:rPr>
        <w:t>LCRB</w:t>
      </w:r>
      <w:r w:rsidRPr="002257D5">
        <w:rPr>
          <w:rFonts w:eastAsia="Arial"/>
          <w:lang w:eastAsia="zh-CN"/>
        </w:rPr>
        <w:t>1</w:t>
      </w:r>
      <w:r>
        <w:rPr>
          <w:rFonts w:eastAsia="Arial"/>
          <w:lang w:eastAsia="zh-CN"/>
        </w:rPr>
        <w:t>*SCS1</w:t>
      </w:r>
      <w:r w:rsidRPr="002257D5">
        <w:rPr>
          <w:rFonts w:eastAsia="Arial"/>
          <w:lang w:eastAsia="zh-CN"/>
        </w:rPr>
        <w:t>/</w:t>
      </w:r>
      <w:r>
        <w:rPr>
          <w:rFonts w:eastAsia="Arial"/>
          <w:lang w:eastAsia="zh-CN"/>
        </w:rPr>
        <w:t>LCRB2*SCS2))/10))</w:t>
      </w:r>
    </w:p>
    <w:p w14:paraId="4D3A853D" w14:textId="77777777" w:rsidR="00811569" w:rsidRPr="002257D5" w:rsidRDefault="00811569" w:rsidP="00857BFC">
      <w:pPr>
        <w:spacing w:after="0"/>
        <w:rPr>
          <w:rFonts w:eastAsia="Arial"/>
          <w:lang w:eastAsia="zh-CN"/>
        </w:rPr>
      </w:pPr>
    </w:p>
    <w:p w14:paraId="3EEE3A35" w14:textId="7AB2910F" w:rsidR="00804629" w:rsidRDefault="002257D5" w:rsidP="00857BFC">
      <w:pPr>
        <w:spacing w:after="0"/>
        <w:rPr>
          <w:rFonts w:eastAsia="Arial"/>
          <w:lang w:eastAsia="zh-CN"/>
        </w:rPr>
      </w:pPr>
      <w:r>
        <w:rPr>
          <w:rFonts w:eastAsia="Arial"/>
          <w:lang w:eastAsia="zh-CN"/>
        </w:rPr>
        <w:t>With this equation the maximum output power can be calculated for different RB allocation in each CC. In Table 1, we present the calculations for 30kHz SCS in each CC.</w:t>
      </w:r>
    </w:p>
    <w:p w14:paraId="2F73E516" w14:textId="0C28418E" w:rsidR="002257D5" w:rsidRDefault="002257D5" w:rsidP="00857BFC">
      <w:pPr>
        <w:spacing w:after="0"/>
        <w:rPr>
          <w:rFonts w:eastAsia="Arial"/>
          <w:lang w:eastAsia="zh-CN"/>
        </w:rPr>
      </w:pPr>
    </w:p>
    <w:p w14:paraId="380B10AD" w14:textId="76EF89A9" w:rsidR="002257D5" w:rsidRDefault="002257D5" w:rsidP="002257D5">
      <w:pPr>
        <w:pStyle w:val="Caption"/>
        <w:keepNext/>
      </w:pPr>
      <w:r w:rsidRPr="002257D5">
        <w:t xml:space="preserve">Table </w:t>
      </w:r>
      <w:r>
        <w:fldChar w:fldCharType="begin"/>
      </w:r>
      <w:r w:rsidRPr="002257D5">
        <w:instrText xml:space="preserve"> SEQ Table \* ARABIC </w:instrText>
      </w:r>
      <w:r>
        <w:fldChar w:fldCharType="separate"/>
      </w:r>
      <w:r w:rsidRPr="002257D5">
        <w:rPr>
          <w:noProof/>
        </w:rPr>
        <w:t>1</w:t>
      </w:r>
      <w:r>
        <w:fldChar w:fldCharType="end"/>
      </w:r>
      <w:r w:rsidRPr="002257D5">
        <w:t xml:space="preserve">: </w:t>
      </w:r>
      <w:proofErr w:type="spellStart"/>
      <w:r w:rsidRPr="002257D5">
        <w:t>PCmax</w:t>
      </w:r>
      <w:proofErr w:type="spellEnd"/>
      <w:r w:rsidRPr="002257D5">
        <w:t xml:space="preserve"> versus LCRB ratio for</w:t>
      </w:r>
      <w:r>
        <w:t xml:space="preserve"> SCS1=SCS2 and one 26dBm PA per CC</w:t>
      </w:r>
    </w:p>
    <w:tbl>
      <w:tblPr>
        <w:tblW w:w="8621" w:type="dxa"/>
        <w:jc w:val="center"/>
        <w:tblLook w:val="04A0" w:firstRow="1" w:lastRow="0" w:firstColumn="1" w:lastColumn="0" w:noHBand="0" w:noVBand="1"/>
      </w:tblPr>
      <w:tblGrid>
        <w:gridCol w:w="1204"/>
        <w:gridCol w:w="873"/>
        <w:gridCol w:w="873"/>
        <w:gridCol w:w="772"/>
        <w:gridCol w:w="772"/>
        <w:gridCol w:w="772"/>
        <w:gridCol w:w="671"/>
        <w:gridCol w:w="671"/>
        <w:gridCol w:w="671"/>
        <w:gridCol w:w="671"/>
        <w:gridCol w:w="671"/>
      </w:tblGrid>
      <w:tr w:rsidR="00D75380" w:rsidRPr="00D75380" w14:paraId="3D2AE9E5" w14:textId="77777777" w:rsidTr="00D75380">
        <w:trPr>
          <w:trHeight w:val="300"/>
          <w:jc w:val="center"/>
        </w:trPr>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6ECCD" w14:textId="77777777" w:rsidR="00D75380" w:rsidRPr="00D75380" w:rsidRDefault="00D75380" w:rsidP="00D75380">
            <w:pPr>
              <w:overflowPunct/>
              <w:autoSpaceDE/>
              <w:autoSpaceDN/>
              <w:adjustRightInd/>
              <w:spacing w:after="0"/>
              <w:textAlignment w:val="auto"/>
              <w:rPr>
                <w:rFonts w:ascii="Calibri" w:hAnsi="Calibri" w:cs="Calibri"/>
                <w:color w:val="000000"/>
                <w:lang w:val="en-US" w:eastAsia="en-US"/>
              </w:rPr>
            </w:pPr>
            <w:r w:rsidRPr="00D75380">
              <w:rPr>
                <w:rFonts w:ascii="Calibri" w:hAnsi="Calibri" w:cs="Calibri"/>
                <w:color w:val="000000"/>
                <w:lang w:val="en-US" w:eastAsia="en-US"/>
              </w:rPr>
              <w:t>LCRB1</w:t>
            </w:r>
          </w:p>
        </w:tc>
        <w:tc>
          <w:tcPr>
            <w:tcW w:w="873" w:type="dxa"/>
            <w:tcBorders>
              <w:top w:val="single" w:sz="4" w:space="0" w:color="auto"/>
              <w:left w:val="nil"/>
              <w:bottom w:val="single" w:sz="4" w:space="0" w:color="auto"/>
              <w:right w:val="single" w:sz="4" w:space="0" w:color="auto"/>
            </w:tcBorders>
            <w:shd w:val="clear" w:color="auto" w:fill="auto"/>
            <w:noWrap/>
            <w:vAlign w:val="bottom"/>
            <w:hideMark/>
          </w:tcPr>
          <w:p w14:paraId="479738E2"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873" w:type="dxa"/>
            <w:tcBorders>
              <w:top w:val="single" w:sz="4" w:space="0" w:color="auto"/>
              <w:left w:val="nil"/>
              <w:bottom w:val="single" w:sz="4" w:space="0" w:color="auto"/>
              <w:right w:val="single" w:sz="4" w:space="0" w:color="auto"/>
            </w:tcBorders>
            <w:shd w:val="clear" w:color="auto" w:fill="auto"/>
            <w:noWrap/>
            <w:vAlign w:val="bottom"/>
            <w:hideMark/>
          </w:tcPr>
          <w:p w14:paraId="0F6E09BA"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0B77CCF6"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0DFEA92D"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7DACD279"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6A1375D3"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079C01E3"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070119F7"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504DCA8F"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5360A1C5"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r>
      <w:tr w:rsidR="00D75380" w:rsidRPr="00D75380" w14:paraId="048E0FE5" w14:textId="77777777" w:rsidTr="00D75380">
        <w:trPr>
          <w:trHeight w:val="300"/>
          <w:jc w:val="center"/>
        </w:trPr>
        <w:tc>
          <w:tcPr>
            <w:tcW w:w="1204" w:type="dxa"/>
            <w:tcBorders>
              <w:top w:val="nil"/>
              <w:left w:val="single" w:sz="4" w:space="0" w:color="auto"/>
              <w:bottom w:val="single" w:sz="4" w:space="0" w:color="auto"/>
              <w:right w:val="single" w:sz="4" w:space="0" w:color="auto"/>
            </w:tcBorders>
            <w:shd w:val="clear" w:color="auto" w:fill="auto"/>
            <w:noWrap/>
            <w:vAlign w:val="bottom"/>
            <w:hideMark/>
          </w:tcPr>
          <w:p w14:paraId="325BBC2D" w14:textId="77777777" w:rsidR="00D75380" w:rsidRPr="00D75380" w:rsidRDefault="00D75380" w:rsidP="00D75380">
            <w:pPr>
              <w:overflowPunct/>
              <w:autoSpaceDE/>
              <w:autoSpaceDN/>
              <w:adjustRightInd/>
              <w:spacing w:after="0"/>
              <w:textAlignment w:val="auto"/>
              <w:rPr>
                <w:rFonts w:ascii="Calibri" w:hAnsi="Calibri" w:cs="Calibri"/>
                <w:color w:val="000000"/>
                <w:lang w:val="en-US" w:eastAsia="en-US"/>
              </w:rPr>
            </w:pPr>
            <w:r w:rsidRPr="00D75380">
              <w:rPr>
                <w:rFonts w:ascii="Calibri" w:hAnsi="Calibri" w:cs="Calibri"/>
                <w:color w:val="000000"/>
                <w:lang w:val="en-US" w:eastAsia="en-US"/>
              </w:rPr>
              <w:t>LCRB2</w:t>
            </w:r>
          </w:p>
        </w:tc>
        <w:tc>
          <w:tcPr>
            <w:tcW w:w="873" w:type="dxa"/>
            <w:tcBorders>
              <w:top w:val="nil"/>
              <w:left w:val="nil"/>
              <w:bottom w:val="single" w:sz="4" w:space="0" w:color="auto"/>
              <w:right w:val="single" w:sz="4" w:space="0" w:color="auto"/>
            </w:tcBorders>
            <w:shd w:val="clear" w:color="auto" w:fill="auto"/>
            <w:noWrap/>
            <w:vAlign w:val="bottom"/>
            <w:hideMark/>
          </w:tcPr>
          <w:p w14:paraId="044ED6DA"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1</w:t>
            </w:r>
          </w:p>
        </w:tc>
        <w:tc>
          <w:tcPr>
            <w:tcW w:w="873" w:type="dxa"/>
            <w:tcBorders>
              <w:top w:val="nil"/>
              <w:left w:val="nil"/>
              <w:bottom w:val="single" w:sz="4" w:space="0" w:color="auto"/>
              <w:right w:val="single" w:sz="4" w:space="0" w:color="auto"/>
            </w:tcBorders>
            <w:shd w:val="clear" w:color="auto" w:fill="auto"/>
            <w:noWrap/>
            <w:vAlign w:val="bottom"/>
            <w:hideMark/>
          </w:tcPr>
          <w:p w14:paraId="5F952E21"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w:t>
            </w:r>
          </w:p>
        </w:tc>
        <w:tc>
          <w:tcPr>
            <w:tcW w:w="772" w:type="dxa"/>
            <w:tcBorders>
              <w:top w:val="nil"/>
              <w:left w:val="nil"/>
              <w:bottom w:val="single" w:sz="4" w:space="0" w:color="auto"/>
              <w:right w:val="single" w:sz="4" w:space="0" w:color="auto"/>
            </w:tcBorders>
            <w:shd w:val="clear" w:color="auto" w:fill="auto"/>
            <w:noWrap/>
            <w:vAlign w:val="bottom"/>
            <w:hideMark/>
          </w:tcPr>
          <w:p w14:paraId="79178605"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4</w:t>
            </w:r>
          </w:p>
        </w:tc>
        <w:tc>
          <w:tcPr>
            <w:tcW w:w="772" w:type="dxa"/>
            <w:tcBorders>
              <w:top w:val="nil"/>
              <w:left w:val="nil"/>
              <w:bottom w:val="single" w:sz="4" w:space="0" w:color="auto"/>
              <w:right w:val="single" w:sz="4" w:space="0" w:color="auto"/>
            </w:tcBorders>
            <w:shd w:val="clear" w:color="auto" w:fill="auto"/>
            <w:noWrap/>
            <w:vAlign w:val="bottom"/>
            <w:hideMark/>
          </w:tcPr>
          <w:p w14:paraId="167D6C73"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8</w:t>
            </w:r>
          </w:p>
        </w:tc>
        <w:tc>
          <w:tcPr>
            <w:tcW w:w="772" w:type="dxa"/>
            <w:tcBorders>
              <w:top w:val="nil"/>
              <w:left w:val="nil"/>
              <w:bottom w:val="single" w:sz="4" w:space="0" w:color="auto"/>
              <w:right w:val="single" w:sz="4" w:space="0" w:color="auto"/>
            </w:tcBorders>
            <w:shd w:val="clear" w:color="auto" w:fill="auto"/>
            <w:noWrap/>
            <w:vAlign w:val="bottom"/>
            <w:hideMark/>
          </w:tcPr>
          <w:p w14:paraId="64B62A5A"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16</w:t>
            </w:r>
          </w:p>
        </w:tc>
        <w:tc>
          <w:tcPr>
            <w:tcW w:w="671" w:type="dxa"/>
            <w:tcBorders>
              <w:top w:val="nil"/>
              <w:left w:val="nil"/>
              <w:bottom w:val="single" w:sz="4" w:space="0" w:color="auto"/>
              <w:right w:val="single" w:sz="4" w:space="0" w:color="auto"/>
            </w:tcBorders>
            <w:shd w:val="clear" w:color="auto" w:fill="auto"/>
            <w:noWrap/>
            <w:vAlign w:val="bottom"/>
            <w:hideMark/>
          </w:tcPr>
          <w:p w14:paraId="3B83AFD6"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32</w:t>
            </w:r>
          </w:p>
        </w:tc>
        <w:tc>
          <w:tcPr>
            <w:tcW w:w="671" w:type="dxa"/>
            <w:tcBorders>
              <w:top w:val="nil"/>
              <w:left w:val="nil"/>
              <w:bottom w:val="single" w:sz="4" w:space="0" w:color="auto"/>
              <w:right w:val="single" w:sz="4" w:space="0" w:color="auto"/>
            </w:tcBorders>
            <w:shd w:val="clear" w:color="auto" w:fill="auto"/>
            <w:noWrap/>
            <w:vAlign w:val="bottom"/>
            <w:hideMark/>
          </w:tcPr>
          <w:p w14:paraId="45FD8939"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64</w:t>
            </w:r>
          </w:p>
        </w:tc>
        <w:tc>
          <w:tcPr>
            <w:tcW w:w="671" w:type="dxa"/>
            <w:tcBorders>
              <w:top w:val="nil"/>
              <w:left w:val="nil"/>
              <w:bottom w:val="single" w:sz="4" w:space="0" w:color="auto"/>
              <w:right w:val="single" w:sz="4" w:space="0" w:color="auto"/>
            </w:tcBorders>
            <w:shd w:val="clear" w:color="auto" w:fill="auto"/>
            <w:noWrap/>
            <w:vAlign w:val="bottom"/>
            <w:hideMark/>
          </w:tcPr>
          <w:p w14:paraId="2A861970"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128</w:t>
            </w:r>
          </w:p>
        </w:tc>
        <w:tc>
          <w:tcPr>
            <w:tcW w:w="671" w:type="dxa"/>
            <w:tcBorders>
              <w:top w:val="nil"/>
              <w:left w:val="nil"/>
              <w:bottom w:val="single" w:sz="4" w:space="0" w:color="auto"/>
              <w:right w:val="single" w:sz="4" w:space="0" w:color="auto"/>
            </w:tcBorders>
            <w:shd w:val="clear" w:color="auto" w:fill="auto"/>
            <w:noWrap/>
            <w:vAlign w:val="bottom"/>
            <w:hideMark/>
          </w:tcPr>
          <w:p w14:paraId="758AAD55"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256</w:t>
            </w:r>
          </w:p>
        </w:tc>
        <w:tc>
          <w:tcPr>
            <w:tcW w:w="671" w:type="dxa"/>
            <w:tcBorders>
              <w:top w:val="nil"/>
              <w:left w:val="nil"/>
              <w:bottom w:val="single" w:sz="4" w:space="0" w:color="auto"/>
              <w:right w:val="single" w:sz="4" w:space="0" w:color="auto"/>
            </w:tcBorders>
            <w:shd w:val="clear" w:color="auto" w:fill="auto"/>
            <w:noWrap/>
            <w:vAlign w:val="bottom"/>
            <w:hideMark/>
          </w:tcPr>
          <w:p w14:paraId="6428994D"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r>
      <w:tr w:rsidR="00D75380" w:rsidRPr="00D75380" w14:paraId="0506BBC9" w14:textId="77777777" w:rsidTr="00D75380">
        <w:trPr>
          <w:trHeight w:val="300"/>
          <w:jc w:val="center"/>
        </w:trPr>
        <w:tc>
          <w:tcPr>
            <w:tcW w:w="1204" w:type="dxa"/>
            <w:tcBorders>
              <w:top w:val="nil"/>
              <w:left w:val="single" w:sz="4" w:space="0" w:color="auto"/>
              <w:bottom w:val="single" w:sz="4" w:space="0" w:color="auto"/>
              <w:right w:val="single" w:sz="4" w:space="0" w:color="auto"/>
            </w:tcBorders>
            <w:shd w:val="clear" w:color="auto" w:fill="auto"/>
            <w:noWrap/>
            <w:vAlign w:val="bottom"/>
            <w:hideMark/>
          </w:tcPr>
          <w:p w14:paraId="59046D67" w14:textId="6E04EA80" w:rsidR="00D75380" w:rsidRPr="00D75380" w:rsidRDefault="00D75380" w:rsidP="00D75380">
            <w:pPr>
              <w:overflowPunct/>
              <w:autoSpaceDE/>
              <w:autoSpaceDN/>
              <w:adjustRightInd/>
              <w:spacing w:after="0"/>
              <w:textAlignment w:val="auto"/>
              <w:rPr>
                <w:rFonts w:ascii="Calibri" w:hAnsi="Calibri" w:cs="Calibri"/>
                <w:color w:val="000000"/>
                <w:lang w:val="en-US" w:eastAsia="en-US"/>
              </w:rPr>
            </w:pPr>
            <w:proofErr w:type="spellStart"/>
            <w:r w:rsidRPr="00D75380">
              <w:rPr>
                <w:rFonts w:ascii="Calibri" w:hAnsi="Calibri" w:cs="Calibri"/>
                <w:color w:val="000000"/>
                <w:lang w:val="en-US" w:eastAsia="en-US"/>
              </w:rPr>
              <w:t>RBBWratio</w:t>
            </w:r>
            <w:proofErr w:type="spellEnd"/>
          </w:p>
        </w:tc>
        <w:tc>
          <w:tcPr>
            <w:tcW w:w="873" w:type="dxa"/>
            <w:tcBorders>
              <w:top w:val="nil"/>
              <w:left w:val="nil"/>
              <w:bottom w:val="single" w:sz="4" w:space="0" w:color="auto"/>
              <w:right w:val="single" w:sz="4" w:space="0" w:color="auto"/>
            </w:tcBorders>
            <w:shd w:val="clear" w:color="auto" w:fill="auto"/>
            <w:noWrap/>
            <w:vAlign w:val="bottom"/>
            <w:hideMark/>
          </w:tcPr>
          <w:p w14:paraId="19E5DE83" w14:textId="66A1AB9D"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273</w:t>
            </w:r>
          </w:p>
        </w:tc>
        <w:tc>
          <w:tcPr>
            <w:tcW w:w="873" w:type="dxa"/>
            <w:tcBorders>
              <w:top w:val="nil"/>
              <w:left w:val="nil"/>
              <w:bottom w:val="single" w:sz="4" w:space="0" w:color="auto"/>
              <w:right w:val="single" w:sz="4" w:space="0" w:color="auto"/>
            </w:tcBorders>
            <w:shd w:val="clear" w:color="auto" w:fill="auto"/>
            <w:noWrap/>
            <w:vAlign w:val="bottom"/>
            <w:hideMark/>
          </w:tcPr>
          <w:p w14:paraId="2296161E" w14:textId="63419381"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136.5</w:t>
            </w:r>
          </w:p>
        </w:tc>
        <w:tc>
          <w:tcPr>
            <w:tcW w:w="772" w:type="dxa"/>
            <w:tcBorders>
              <w:top w:val="nil"/>
              <w:left w:val="nil"/>
              <w:bottom w:val="single" w:sz="4" w:space="0" w:color="auto"/>
              <w:right w:val="single" w:sz="4" w:space="0" w:color="auto"/>
            </w:tcBorders>
            <w:shd w:val="clear" w:color="auto" w:fill="auto"/>
            <w:noWrap/>
            <w:vAlign w:val="bottom"/>
            <w:hideMark/>
          </w:tcPr>
          <w:p w14:paraId="72DB3E29"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68.25</w:t>
            </w:r>
          </w:p>
        </w:tc>
        <w:tc>
          <w:tcPr>
            <w:tcW w:w="772" w:type="dxa"/>
            <w:tcBorders>
              <w:top w:val="nil"/>
              <w:left w:val="nil"/>
              <w:bottom w:val="single" w:sz="4" w:space="0" w:color="auto"/>
              <w:right w:val="single" w:sz="4" w:space="0" w:color="auto"/>
            </w:tcBorders>
            <w:shd w:val="clear" w:color="auto" w:fill="auto"/>
            <w:noWrap/>
            <w:vAlign w:val="bottom"/>
            <w:hideMark/>
          </w:tcPr>
          <w:p w14:paraId="5FEC8CC0"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34.13</w:t>
            </w:r>
          </w:p>
        </w:tc>
        <w:tc>
          <w:tcPr>
            <w:tcW w:w="772" w:type="dxa"/>
            <w:tcBorders>
              <w:top w:val="nil"/>
              <w:left w:val="nil"/>
              <w:bottom w:val="single" w:sz="4" w:space="0" w:color="auto"/>
              <w:right w:val="single" w:sz="4" w:space="0" w:color="auto"/>
            </w:tcBorders>
            <w:shd w:val="clear" w:color="auto" w:fill="auto"/>
            <w:noWrap/>
            <w:vAlign w:val="bottom"/>
            <w:hideMark/>
          </w:tcPr>
          <w:p w14:paraId="10E08449"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17.06</w:t>
            </w:r>
          </w:p>
        </w:tc>
        <w:tc>
          <w:tcPr>
            <w:tcW w:w="671" w:type="dxa"/>
            <w:tcBorders>
              <w:top w:val="nil"/>
              <w:left w:val="nil"/>
              <w:bottom w:val="single" w:sz="4" w:space="0" w:color="auto"/>
              <w:right w:val="single" w:sz="4" w:space="0" w:color="auto"/>
            </w:tcBorders>
            <w:shd w:val="clear" w:color="auto" w:fill="auto"/>
            <w:noWrap/>
            <w:vAlign w:val="bottom"/>
            <w:hideMark/>
          </w:tcPr>
          <w:p w14:paraId="103F9287"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8.53</w:t>
            </w:r>
          </w:p>
        </w:tc>
        <w:tc>
          <w:tcPr>
            <w:tcW w:w="671" w:type="dxa"/>
            <w:tcBorders>
              <w:top w:val="nil"/>
              <w:left w:val="nil"/>
              <w:bottom w:val="single" w:sz="4" w:space="0" w:color="auto"/>
              <w:right w:val="single" w:sz="4" w:space="0" w:color="auto"/>
            </w:tcBorders>
            <w:shd w:val="clear" w:color="auto" w:fill="auto"/>
            <w:noWrap/>
            <w:vAlign w:val="bottom"/>
            <w:hideMark/>
          </w:tcPr>
          <w:p w14:paraId="71E50CBF"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4.27</w:t>
            </w:r>
          </w:p>
        </w:tc>
        <w:tc>
          <w:tcPr>
            <w:tcW w:w="671" w:type="dxa"/>
            <w:tcBorders>
              <w:top w:val="nil"/>
              <w:left w:val="nil"/>
              <w:bottom w:val="single" w:sz="4" w:space="0" w:color="auto"/>
              <w:right w:val="single" w:sz="4" w:space="0" w:color="auto"/>
            </w:tcBorders>
            <w:shd w:val="clear" w:color="auto" w:fill="auto"/>
            <w:noWrap/>
            <w:vAlign w:val="bottom"/>
            <w:hideMark/>
          </w:tcPr>
          <w:p w14:paraId="7B26F511"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2.13</w:t>
            </w:r>
          </w:p>
        </w:tc>
        <w:tc>
          <w:tcPr>
            <w:tcW w:w="671" w:type="dxa"/>
            <w:tcBorders>
              <w:top w:val="nil"/>
              <w:left w:val="nil"/>
              <w:bottom w:val="single" w:sz="4" w:space="0" w:color="auto"/>
              <w:right w:val="single" w:sz="4" w:space="0" w:color="auto"/>
            </w:tcBorders>
            <w:shd w:val="clear" w:color="auto" w:fill="auto"/>
            <w:noWrap/>
            <w:vAlign w:val="bottom"/>
            <w:hideMark/>
          </w:tcPr>
          <w:p w14:paraId="20948CC8"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1.07</w:t>
            </w:r>
          </w:p>
        </w:tc>
        <w:tc>
          <w:tcPr>
            <w:tcW w:w="671" w:type="dxa"/>
            <w:tcBorders>
              <w:top w:val="nil"/>
              <w:left w:val="nil"/>
              <w:bottom w:val="single" w:sz="4" w:space="0" w:color="auto"/>
              <w:right w:val="single" w:sz="4" w:space="0" w:color="auto"/>
            </w:tcBorders>
            <w:shd w:val="clear" w:color="auto" w:fill="auto"/>
            <w:noWrap/>
            <w:vAlign w:val="bottom"/>
            <w:hideMark/>
          </w:tcPr>
          <w:p w14:paraId="7DE99504" w14:textId="3815D01A"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1</w:t>
            </w:r>
          </w:p>
        </w:tc>
      </w:tr>
      <w:tr w:rsidR="00D75380" w:rsidRPr="00D75380" w14:paraId="1AF173E6" w14:textId="77777777" w:rsidTr="00D75380">
        <w:trPr>
          <w:trHeight w:val="300"/>
          <w:jc w:val="center"/>
        </w:trPr>
        <w:tc>
          <w:tcPr>
            <w:tcW w:w="1204" w:type="dxa"/>
            <w:tcBorders>
              <w:top w:val="nil"/>
              <w:left w:val="single" w:sz="4" w:space="0" w:color="auto"/>
              <w:bottom w:val="single" w:sz="4" w:space="0" w:color="auto"/>
              <w:right w:val="single" w:sz="4" w:space="0" w:color="auto"/>
            </w:tcBorders>
            <w:shd w:val="clear" w:color="auto" w:fill="auto"/>
            <w:noWrap/>
            <w:vAlign w:val="bottom"/>
            <w:hideMark/>
          </w:tcPr>
          <w:p w14:paraId="6E5EAEE9" w14:textId="77777777" w:rsidR="00D75380" w:rsidRPr="00D75380" w:rsidRDefault="00D75380" w:rsidP="00D75380">
            <w:pPr>
              <w:overflowPunct/>
              <w:autoSpaceDE/>
              <w:autoSpaceDN/>
              <w:adjustRightInd/>
              <w:spacing w:after="0"/>
              <w:textAlignment w:val="auto"/>
              <w:rPr>
                <w:rFonts w:ascii="Calibri" w:hAnsi="Calibri" w:cs="Calibri"/>
                <w:color w:val="000000"/>
                <w:lang w:val="en-US" w:eastAsia="en-US"/>
              </w:rPr>
            </w:pPr>
            <w:proofErr w:type="spellStart"/>
            <w:r w:rsidRPr="00D75380">
              <w:rPr>
                <w:rFonts w:ascii="Calibri" w:hAnsi="Calibri" w:cs="Calibri"/>
                <w:color w:val="000000"/>
                <w:lang w:val="en-US" w:eastAsia="en-US"/>
              </w:rPr>
              <w:t>PCmax</w:t>
            </w:r>
            <w:proofErr w:type="spellEnd"/>
          </w:p>
        </w:tc>
        <w:tc>
          <w:tcPr>
            <w:tcW w:w="873" w:type="dxa"/>
            <w:tcBorders>
              <w:top w:val="nil"/>
              <w:left w:val="nil"/>
              <w:bottom w:val="single" w:sz="4" w:space="0" w:color="auto"/>
              <w:right w:val="single" w:sz="4" w:space="0" w:color="auto"/>
            </w:tcBorders>
            <w:shd w:val="clear" w:color="auto" w:fill="auto"/>
            <w:noWrap/>
            <w:vAlign w:val="bottom"/>
            <w:hideMark/>
          </w:tcPr>
          <w:p w14:paraId="416916E2"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26.0</w:t>
            </w:r>
          </w:p>
        </w:tc>
        <w:tc>
          <w:tcPr>
            <w:tcW w:w="873" w:type="dxa"/>
            <w:tcBorders>
              <w:top w:val="nil"/>
              <w:left w:val="nil"/>
              <w:bottom w:val="single" w:sz="4" w:space="0" w:color="auto"/>
              <w:right w:val="single" w:sz="4" w:space="0" w:color="auto"/>
            </w:tcBorders>
            <w:shd w:val="clear" w:color="auto" w:fill="auto"/>
            <w:noWrap/>
            <w:vAlign w:val="bottom"/>
            <w:hideMark/>
          </w:tcPr>
          <w:p w14:paraId="779FA7DA"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26.0</w:t>
            </w:r>
          </w:p>
        </w:tc>
        <w:tc>
          <w:tcPr>
            <w:tcW w:w="772" w:type="dxa"/>
            <w:tcBorders>
              <w:top w:val="nil"/>
              <w:left w:val="nil"/>
              <w:bottom w:val="single" w:sz="4" w:space="0" w:color="auto"/>
              <w:right w:val="single" w:sz="4" w:space="0" w:color="auto"/>
            </w:tcBorders>
            <w:shd w:val="clear" w:color="auto" w:fill="auto"/>
            <w:noWrap/>
            <w:vAlign w:val="bottom"/>
            <w:hideMark/>
          </w:tcPr>
          <w:p w14:paraId="42F74889"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26.1</w:t>
            </w:r>
          </w:p>
        </w:tc>
        <w:tc>
          <w:tcPr>
            <w:tcW w:w="772" w:type="dxa"/>
            <w:tcBorders>
              <w:top w:val="nil"/>
              <w:left w:val="nil"/>
              <w:bottom w:val="single" w:sz="4" w:space="0" w:color="auto"/>
              <w:right w:val="single" w:sz="4" w:space="0" w:color="auto"/>
            </w:tcBorders>
            <w:shd w:val="clear" w:color="auto" w:fill="auto"/>
            <w:noWrap/>
            <w:vAlign w:val="bottom"/>
            <w:hideMark/>
          </w:tcPr>
          <w:p w14:paraId="23A690CE"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26.1</w:t>
            </w:r>
          </w:p>
        </w:tc>
        <w:tc>
          <w:tcPr>
            <w:tcW w:w="772" w:type="dxa"/>
            <w:tcBorders>
              <w:top w:val="nil"/>
              <w:left w:val="nil"/>
              <w:bottom w:val="single" w:sz="4" w:space="0" w:color="auto"/>
              <w:right w:val="single" w:sz="4" w:space="0" w:color="auto"/>
            </w:tcBorders>
            <w:shd w:val="clear" w:color="auto" w:fill="auto"/>
            <w:noWrap/>
            <w:vAlign w:val="bottom"/>
            <w:hideMark/>
          </w:tcPr>
          <w:p w14:paraId="480DEAEE"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26.2</w:t>
            </w:r>
          </w:p>
        </w:tc>
        <w:tc>
          <w:tcPr>
            <w:tcW w:w="671" w:type="dxa"/>
            <w:tcBorders>
              <w:top w:val="nil"/>
              <w:left w:val="nil"/>
              <w:bottom w:val="single" w:sz="4" w:space="0" w:color="auto"/>
              <w:right w:val="single" w:sz="4" w:space="0" w:color="auto"/>
            </w:tcBorders>
            <w:shd w:val="clear" w:color="auto" w:fill="auto"/>
            <w:noWrap/>
            <w:vAlign w:val="bottom"/>
            <w:hideMark/>
          </w:tcPr>
          <w:p w14:paraId="58FA79DC"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26.5</w:t>
            </w:r>
          </w:p>
        </w:tc>
        <w:tc>
          <w:tcPr>
            <w:tcW w:w="671" w:type="dxa"/>
            <w:tcBorders>
              <w:top w:val="nil"/>
              <w:left w:val="nil"/>
              <w:bottom w:val="single" w:sz="4" w:space="0" w:color="auto"/>
              <w:right w:val="single" w:sz="4" w:space="0" w:color="auto"/>
            </w:tcBorders>
            <w:shd w:val="clear" w:color="auto" w:fill="auto"/>
            <w:noWrap/>
            <w:vAlign w:val="bottom"/>
            <w:hideMark/>
          </w:tcPr>
          <w:p w14:paraId="1C21DF1D"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26.9</w:t>
            </w:r>
          </w:p>
        </w:tc>
        <w:tc>
          <w:tcPr>
            <w:tcW w:w="671" w:type="dxa"/>
            <w:tcBorders>
              <w:top w:val="nil"/>
              <w:left w:val="nil"/>
              <w:bottom w:val="single" w:sz="4" w:space="0" w:color="auto"/>
              <w:right w:val="single" w:sz="4" w:space="0" w:color="auto"/>
            </w:tcBorders>
            <w:shd w:val="clear" w:color="auto" w:fill="auto"/>
            <w:noWrap/>
            <w:vAlign w:val="bottom"/>
            <w:hideMark/>
          </w:tcPr>
          <w:p w14:paraId="5A792E7B"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27.7</w:t>
            </w:r>
          </w:p>
        </w:tc>
        <w:tc>
          <w:tcPr>
            <w:tcW w:w="671" w:type="dxa"/>
            <w:tcBorders>
              <w:top w:val="nil"/>
              <w:left w:val="nil"/>
              <w:bottom w:val="single" w:sz="4" w:space="0" w:color="auto"/>
              <w:right w:val="single" w:sz="4" w:space="0" w:color="auto"/>
            </w:tcBorders>
            <w:shd w:val="clear" w:color="auto" w:fill="auto"/>
            <w:noWrap/>
            <w:vAlign w:val="bottom"/>
            <w:hideMark/>
          </w:tcPr>
          <w:p w14:paraId="75F90171"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28.9</w:t>
            </w:r>
          </w:p>
        </w:tc>
        <w:tc>
          <w:tcPr>
            <w:tcW w:w="671" w:type="dxa"/>
            <w:tcBorders>
              <w:top w:val="nil"/>
              <w:left w:val="nil"/>
              <w:bottom w:val="single" w:sz="4" w:space="0" w:color="auto"/>
              <w:right w:val="single" w:sz="4" w:space="0" w:color="auto"/>
            </w:tcBorders>
            <w:shd w:val="clear" w:color="auto" w:fill="auto"/>
            <w:noWrap/>
            <w:vAlign w:val="bottom"/>
            <w:hideMark/>
          </w:tcPr>
          <w:p w14:paraId="6CB9474E" w14:textId="77777777" w:rsidR="00D75380" w:rsidRPr="00D75380" w:rsidRDefault="00D75380" w:rsidP="00D75380">
            <w:pPr>
              <w:overflowPunct/>
              <w:autoSpaceDE/>
              <w:autoSpaceDN/>
              <w:adjustRightInd/>
              <w:spacing w:after="0"/>
              <w:jc w:val="center"/>
              <w:textAlignment w:val="auto"/>
              <w:rPr>
                <w:rFonts w:ascii="Calibri" w:hAnsi="Calibri" w:cs="Calibri"/>
                <w:color w:val="000000"/>
                <w:lang w:val="en-US" w:eastAsia="en-US"/>
              </w:rPr>
            </w:pPr>
            <w:r w:rsidRPr="00D75380">
              <w:rPr>
                <w:rFonts w:ascii="Calibri" w:hAnsi="Calibri" w:cs="Calibri"/>
                <w:color w:val="000000"/>
                <w:lang w:val="en-US" w:eastAsia="en-US"/>
              </w:rPr>
              <w:t>29.0</w:t>
            </w:r>
          </w:p>
        </w:tc>
      </w:tr>
    </w:tbl>
    <w:p w14:paraId="153BDD53" w14:textId="67966575" w:rsidR="002257D5" w:rsidRDefault="002257D5" w:rsidP="00857BFC">
      <w:pPr>
        <w:spacing w:after="0"/>
        <w:rPr>
          <w:rFonts w:eastAsia="Arial"/>
          <w:lang w:eastAsia="zh-CN"/>
        </w:rPr>
      </w:pPr>
    </w:p>
    <w:p w14:paraId="0FBF29AD" w14:textId="124C96F2" w:rsidR="009354B5" w:rsidRDefault="009354B5" w:rsidP="00857BFC">
      <w:pPr>
        <w:spacing w:after="0"/>
        <w:rPr>
          <w:rFonts w:eastAsia="Arial"/>
          <w:b/>
          <w:bCs/>
          <w:lang w:eastAsia="zh-CN"/>
        </w:rPr>
      </w:pPr>
      <w:r w:rsidRPr="009354B5">
        <w:rPr>
          <w:rFonts w:eastAsia="Arial"/>
          <w:b/>
          <w:bCs/>
          <w:lang w:eastAsia="zh-CN"/>
        </w:rPr>
        <w:lastRenderedPageBreak/>
        <w:t xml:space="preserve">Observation: </w:t>
      </w:r>
      <w:r w:rsidR="00D75380">
        <w:rPr>
          <w:rFonts w:eastAsia="Arial"/>
          <w:b/>
          <w:bCs/>
          <w:lang w:eastAsia="zh-CN"/>
        </w:rPr>
        <w:t>T</w:t>
      </w:r>
      <w:r w:rsidRPr="009354B5">
        <w:rPr>
          <w:rFonts w:eastAsia="Arial"/>
          <w:b/>
          <w:bCs/>
          <w:lang w:eastAsia="zh-CN"/>
        </w:rPr>
        <w:t>he RB BW ratio should be &gt;4 to exceed PC2 significantly and this should be accounted for when scheduling the allocation in each CC.</w:t>
      </w:r>
    </w:p>
    <w:p w14:paraId="020A3ACE" w14:textId="5D7E99D2" w:rsidR="009354B5" w:rsidRDefault="009354B5" w:rsidP="00857BFC">
      <w:pPr>
        <w:spacing w:after="0"/>
        <w:rPr>
          <w:rFonts w:eastAsia="Arial"/>
          <w:b/>
          <w:bCs/>
          <w:lang w:eastAsia="zh-CN"/>
        </w:rPr>
      </w:pPr>
    </w:p>
    <w:p w14:paraId="25D69ECC" w14:textId="77777777" w:rsidR="009354B5" w:rsidRDefault="009354B5" w:rsidP="009354B5">
      <w:pPr>
        <w:spacing w:after="0"/>
        <w:rPr>
          <w:rFonts w:eastAsia="Arial"/>
          <w:b/>
          <w:bCs/>
          <w:lang w:eastAsia="zh-CN"/>
        </w:rPr>
      </w:pPr>
      <w:r w:rsidRPr="009354B5">
        <w:rPr>
          <w:rFonts w:eastAsia="Arial"/>
          <w:b/>
          <w:bCs/>
          <w:lang w:eastAsia="zh-CN"/>
        </w:rPr>
        <w:t xml:space="preserve">Proposal: for R19 PC1.5 intra-band non-contiguous ULCA with two 26dBm PAs and one PA per CC, the 29dBm </w:t>
      </w:r>
      <w:proofErr w:type="spellStart"/>
      <w:r w:rsidRPr="009354B5">
        <w:rPr>
          <w:rFonts w:eastAsia="Arial"/>
          <w:b/>
          <w:bCs/>
          <w:lang w:eastAsia="zh-CN"/>
        </w:rPr>
        <w:t>PCmax</w:t>
      </w:r>
      <w:proofErr w:type="spellEnd"/>
      <w:r w:rsidRPr="009354B5">
        <w:rPr>
          <w:rFonts w:eastAsia="Arial"/>
          <w:b/>
          <w:bCs/>
          <w:lang w:eastAsia="zh-CN"/>
        </w:rPr>
        <w:t xml:space="preserve"> is modified as follows</w:t>
      </w:r>
      <w:r>
        <w:rPr>
          <w:rFonts w:eastAsia="Arial"/>
          <w:b/>
          <w:bCs/>
          <w:lang w:eastAsia="zh-CN"/>
        </w:rPr>
        <w:t xml:space="preserve"> to account for RB BW imbalances</w:t>
      </w:r>
      <w:r w:rsidRPr="009354B5">
        <w:rPr>
          <w:rFonts w:eastAsia="Arial"/>
          <w:b/>
          <w:bCs/>
          <w:lang w:eastAsia="zh-CN"/>
        </w:rPr>
        <w:t xml:space="preserve">: </w:t>
      </w:r>
    </w:p>
    <w:p w14:paraId="5CDFF4D7" w14:textId="3596CD74" w:rsidR="009354B5" w:rsidRPr="009354B5" w:rsidRDefault="009354B5" w:rsidP="009354B5">
      <w:pPr>
        <w:spacing w:after="0"/>
        <w:jc w:val="center"/>
        <w:rPr>
          <w:rFonts w:eastAsia="Arial"/>
          <w:lang w:eastAsia="zh-CN"/>
        </w:rPr>
      </w:pPr>
      <w:r w:rsidRPr="009354B5">
        <w:rPr>
          <w:rFonts w:eastAsia="Arial"/>
          <w:b/>
          <w:bCs/>
          <w:lang w:eastAsia="zh-CN"/>
        </w:rPr>
        <w:t>PCmax=10*log(10^(2</w:t>
      </w:r>
      <w:r>
        <w:rPr>
          <w:rFonts w:eastAsia="Arial"/>
          <w:b/>
          <w:bCs/>
          <w:lang w:eastAsia="zh-CN"/>
        </w:rPr>
        <w:t>6</w:t>
      </w:r>
      <w:r w:rsidRPr="009354B5">
        <w:rPr>
          <w:rFonts w:eastAsia="Arial"/>
          <w:b/>
          <w:bCs/>
          <w:lang w:eastAsia="zh-CN"/>
        </w:rPr>
        <w:t>/</w:t>
      </w:r>
      <w:proofErr w:type="gramStart"/>
      <w:r w:rsidRPr="009354B5">
        <w:rPr>
          <w:rFonts w:eastAsia="Arial"/>
          <w:b/>
          <w:bCs/>
          <w:lang w:eastAsia="zh-CN"/>
        </w:rPr>
        <w:t>10)+</w:t>
      </w:r>
      <w:proofErr w:type="gramEnd"/>
      <w:r w:rsidRPr="009354B5">
        <w:rPr>
          <w:rFonts w:eastAsia="Arial"/>
          <w:b/>
          <w:bCs/>
          <w:lang w:eastAsia="zh-CN"/>
        </w:rPr>
        <w:t>10^((26-10*log(LCRB1*SCS1/LCRB2*SCS2))/10))</w:t>
      </w:r>
    </w:p>
    <w:p w14:paraId="3A1423CF" w14:textId="5DD5410B" w:rsidR="006C0252" w:rsidRPr="00343AA7" w:rsidRDefault="006C0252" w:rsidP="00476DF4">
      <w:pPr>
        <w:pStyle w:val="Heading1"/>
        <w:numPr>
          <w:ilvl w:val="0"/>
          <w:numId w:val="1"/>
        </w:numPr>
        <w:ind w:left="567" w:hanging="567"/>
      </w:pPr>
      <w:r>
        <w:t>Conclusion</w:t>
      </w:r>
    </w:p>
    <w:p w14:paraId="08582F1D" w14:textId="32AA041E" w:rsidR="006C0252" w:rsidRDefault="006C0252" w:rsidP="00BA56F6">
      <w:r>
        <w:t xml:space="preserve">In this contribution, we </w:t>
      </w:r>
      <w:r w:rsidR="00811569">
        <w:t>discussed the limitations of the possible architectures for both contiguous and non-contiguous ULCA and present the following proposals</w:t>
      </w:r>
      <w:r w:rsidR="00357E35">
        <w:t>.</w:t>
      </w:r>
    </w:p>
    <w:p w14:paraId="005667AE" w14:textId="0C476856" w:rsidR="00811569" w:rsidRDefault="00811569" w:rsidP="00811569">
      <w:pPr>
        <w:spacing w:after="0"/>
        <w:rPr>
          <w:rFonts w:eastAsia="Arial"/>
          <w:b/>
          <w:bCs/>
          <w:lang w:eastAsia="zh-CN"/>
        </w:rPr>
      </w:pPr>
      <w:r w:rsidRPr="00811569">
        <w:rPr>
          <w:rFonts w:eastAsia="Arial"/>
          <w:b/>
          <w:bCs/>
          <w:lang w:eastAsia="zh-CN"/>
        </w:rPr>
        <w:t>Proposal: To support the mandatory 1CC fall back, a UE supporting contiguous or non-contiguous PC1.5 ULCA must support single CC PC1.5 in the same band and thus</w:t>
      </w:r>
      <w:r w:rsidR="00653B8A">
        <w:rPr>
          <w:rFonts w:eastAsia="Arial"/>
          <w:b/>
          <w:bCs/>
          <w:lang w:eastAsia="zh-CN"/>
        </w:rPr>
        <w:t>,</w:t>
      </w:r>
      <w:r w:rsidRPr="00811569">
        <w:rPr>
          <w:rFonts w:eastAsia="Arial"/>
          <w:b/>
          <w:bCs/>
          <w:lang w:eastAsia="zh-CN"/>
        </w:rPr>
        <w:t xml:space="preserve"> support 2Tx with </w:t>
      </w:r>
      <w:proofErr w:type="spellStart"/>
      <w:r w:rsidRPr="00811569">
        <w:rPr>
          <w:rFonts w:eastAsia="Arial"/>
          <w:b/>
          <w:bCs/>
          <w:lang w:eastAsia="zh-CN"/>
        </w:rPr>
        <w:t>TxD</w:t>
      </w:r>
      <w:proofErr w:type="spellEnd"/>
      <w:r w:rsidRPr="00811569">
        <w:rPr>
          <w:rFonts w:eastAsia="Arial"/>
          <w:b/>
          <w:bCs/>
          <w:lang w:eastAsia="zh-CN"/>
        </w:rPr>
        <w:t xml:space="preserve"> as</w:t>
      </w:r>
      <w:r w:rsidR="00653B8A">
        <w:rPr>
          <w:rFonts w:eastAsia="Arial"/>
          <w:b/>
          <w:bCs/>
          <w:lang w:eastAsia="zh-CN"/>
        </w:rPr>
        <w:t xml:space="preserve"> a</w:t>
      </w:r>
      <w:r w:rsidRPr="00811569">
        <w:rPr>
          <w:rFonts w:eastAsia="Arial"/>
          <w:b/>
          <w:bCs/>
          <w:lang w:eastAsia="zh-CN"/>
        </w:rPr>
        <w:t xml:space="preserve"> minimum feature and UL MIMO optionally.</w:t>
      </w:r>
    </w:p>
    <w:p w14:paraId="65860B59" w14:textId="626E2F52" w:rsidR="00811569" w:rsidRDefault="00811569" w:rsidP="00811569">
      <w:pPr>
        <w:spacing w:after="0"/>
        <w:rPr>
          <w:rFonts w:eastAsia="Arial"/>
          <w:b/>
          <w:bCs/>
          <w:lang w:eastAsia="zh-CN"/>
        </w:rPr>
      </w:pPr>
    </w:p>
    <w:p w14:paraId="34B6768E" w14:textId="1234A2E2" w:rsidR="00811569" w:rsidRPr="001E2FD9" w:rsidRDefault="00811569" w:rsidP="00811569">
      <w:pPr>
        <w:rPr>
          <w:rFonts w:eastAsia="Arial"/>
          <w:b/>
          <w:bCs/>
          <w:lang w:eastAsia="zh-CN"/>
        </w:rPr>
      </w:pPr>
      <w:r w:rsidRPr="001E2FD9">
        <w:rPr>
          <w:rFonts w:eastAsia="Arial"/>
          <w:b/>
          <w:bCs/>
          <w:lang w:eastAsia="zh-CN"/>
        </w:rPr>
        <w:t xml:space="preserve">Proposal: the intra-band PC1.5 ULCA R19 work focusses on UE implementing </w:t>
      </w:r>
      <w:r>
        <w:rPr>
          <w:rFonts w:eastAsia="Arial"/>
          <w:b/>
          <w:bCs/>
          <w:lang w:eastAsia="zh-CN"/>
        </w:rPr>
        <w:t>intra-band ULCA</w:t>
      </w:r>
      <w:r w:rsidRPr="001E2FD9">
        <w:rPr>
          <w:rFonts w:eastAsia="Arial"/>
          <w:b/>
          <w:bCs/>
          <w:lang w:eastAsia="zh-CN"/>
        </w:rPr>
        <w:t xml:space="preserve"> PC1.</w:t>
      </w:r>
      <w:r>
        <w:rPr>
          <w:rFonts w:eastAsia="Arial"/>
          <w:b/>
          <w:bCs/>
          <w:lang w:eastAsia="zh-CN"/>
        </w:rPr>
        <w:t>5</w:t>
      </w:r>
      <w:r w:rsidRPr="001E2FD9">
        <w:rPr>
          <w:rFonts w:eastAsia="Arial"/>
          <w:b/>
          <w:bCs/>
          <w:lang w:eastAsia="zh-CN"/>
        </w:rPr>
        <w:t xml:space="preserve"> this two 26dBm PAs.</w:t>
      </w:r>
    </w:p>
    <w:p w14:paraId="73A13873" w14:textId="77777777" w:rsidR="00811569" w:rsidRDefault="00811569" w:rsidP="00811569">
      <w:pPr>
        <w:spacing w:after="0"/>
        <w:rPr>
          <w:rFonts w:eastAsia="Arial"/>
          <w:b/>
          <w:bCs/>
          <w:lang w:eastAsia="zh-CN"/>
        </w:rPr>
      </w:pPr>
      <w:r w:rsidRPr="00804629">
        <w:rPr>
          <w:rFonts w:eastAsia="Arial"/>
          <w:b/>
          <w:bCs/>
          <w:lang w:eastAsia="zh-CN"/>
        </w:rPr>
        <w:t xml:space="preserve">Proposal on intra-band contiguous PC1.5 ULCA architecture: </w:t>
      </w:r>
    </w:p>
    <w:p w14:paraId="0AFF9B54" w14:textId="77777777" w:rsidR="00811569" w:rsidRDefault="00811569" w:rsidP="00811569">
      <w:pPr>
        <w:pStyle w:val="ListParagraph"/>
        <w:numPr>
          <w:ilvl w:val="0"/>
          <w:numId w:val="46"/>
        </w:numPr>
        <w:spacing w:after="0"/>
        <w:ind w:firstLineChars="0"/>
        <w:rPr>
          <w:rFonts w:eastAsia="Arial"/>
          <w:b/>
          <w:bCs/>
          <w:lang w:eastAsia="zh-CN"/>
        </w:rPr>
      </w:pPr>
      <w:r w:rsidRPr="00E01942">
        <w:rPr>
          <w:rFonts w:eastAsia="Arial"/>
          <w:b/>
          <w:bCs/>
          <w:lang w:eastAsia="zh-CN"/>
        </w:rPr>
        <w:t xml:space="preserve">Only the two 26dBm PA architecture using 2Tx as already needed for the 1CC fall back is specified. </w:t>
      </w:r>
    </w:p>
    <w:p w14:paraId="0AF68943" w14:textId="231357F8" w:rsidR="00811569" w:rsidRDefault="00811569" w:rsidP="00811569">
      <w:pPr>
        <w:pStyle w:val="ListParagraph"/>
        <w:numPr>
          <w:ilvl w:val="0"/>
          <w:numId w:val="46"/>
        </w:numPr>
        <w:spacing w:after="0"/>
        <w:ind w:firstLineChars="0"/>
        <w:rPr>
          <w:rFonts w:eastAsia="Arial"/>
          <w:b/>
          <w:bCs/>
          <w:lang w:eastAsia="zh-CN"/>
        </w:rPr>
      </w:pPr>
      <w:r w:rsidRPr="00E01942">
        <w:rPr>
          <w:rFonts w:eastAsia="Arial"/>
          <w:b/>
          <w:bCs/>
          <w:lang w:eastAsia="zh-CN"/>
        </w:rPr>
        <w:t xml:space="preserve">Each PA </w:t>
      </w:r>
      <w:r w:rsidR="00653B8A">
        <w:rPr>
          <w:rFonts w:eastAsia="Arial"/>
          <w:b/>
          <w:bCs/>
          <w:lang w:eastAsia="zh-CN"/>
        </w:rPr>
        <w:t>must</w:t>
      </w:r>
      <w:r w:rsidRPr="00E01942">
        <w:rPr>
          <w:rFonts w:eastAsia="Arial"/>
          <w:b/>
          <w:bCs/>
          <w:lang w:eastAsia="zh-CN"/>
        </w:rPr>
        <w:t xml:space="preserve"> support the two CCs and </w:t>
      </w:r>
      <w:proofErr w:type="spellStart"/>
      <w:r w:rsidRPr="00E01942">
        <w:rPr>
          <w:rFonts w:eastAsia="Arial"/>
          <w:b/>
          <w:bCs/>
          <w:lang w:eastAsia="zh-CN"/>
        </w:rPr>
        <w:t>TxD</w:t>
      </w:r>
      <w:proofErr w:type="spellEnd"/>
      <w:r w:rsidRPr="00E01942">
        <w:rPr>
          <w:rFonts w:eastAsia="Arial"/>
          <w:b/>
          <w:bCs/>
          <w:lang w:eastAsia="zh-CN"/>
        </w:rPr>
        <w:t xml:space="preserve"> is default and UL MIMO is optional. </w:t>
      </w:r>
    </w:p>
    <w:p w14:paraId="2EFC751B" w14:textId="77777777" w:rsidR="00811569" w:rsidRPr="00E01942" w:rsidRDefault="00811569" w:rsidP="00811569">
      <w:pPr>
        <w:pStyle w:val="ListParagraph"/>
        <w:numPr>
          <w:ilvl w:val="0"/>
          <w:numId w:val="46"/>
        </w:numPr>
        <w:spacing w:after="0"/>
        <w:ind w:firstLineChars="0"/>
        <w:rPr>
          <w:rFonts w:eastAsia="Arial"/>
          <w:b/>
          <w:bCs/>
          <w:lang w:eastAsia="zh-CN"/>
        </w:rPr>
      </w:pPr>
      <w:r w:rsidRPr="00E01942">
        <w:rPr>
          <w:rFonts w:eastAsia="Arial"/>
          <w:b/>
          <w:bCs/>
          <w:lang w:eastAsia="zh-CN"/>
        </w:rPr>
        <w:t>This has no restriction in terms of supporting the 200MHz maximum aggregated BW or allocation BW in each CC.</w:t>
      </w:r>
    </w:p>
    <w:p w14:paraId="5F067AC8" w14:textId="77777777" w:rsidR="00811569" w:rsidRDefault="00811569" w:rsidP="00811569">
      <w:pPr>
        <w:spacing w:after="0"/>
        <w:rPr>
          <w:rFonts w:eastAsia="Arial"/>
          <w:b/>
          <w:bCs/>
          <w:lang w:eastAsia="zh-CN"/>
        </w:rPr>
      </w:pPr>
    </w:p>
    <w:p w14:paraId="2F50F16B" w14:textId="77777777" w:rsidR="009354B5" w:rsidRDefault="009354B5" w:rsidP="009354B5">
      <w:pPr>
        <w:spacing w:after="0"/>
        <w:rPr>
          <w:rFonts w:eastAsia="Arial"/>
          <w:b/>
          <w:bCs/>
          <w:lang w:eastAsia="zh-CN"/>
        </w:rPr>
      </w:pPr>
      <w:r w:rsidRPr="00804629">
        <w:rPr>
          <w:rFonts w:eastAsia="Arial"/>
          <w:b/>
          <w:bCs/>
          <w:lang w:eastAsia="zh-CN"/>
        </w:rPr>
        <w:t xml:space="preserve">Proposal on intra-band </w:t>
      </w:r>
      <w:r>
        <w:rPr>
          <w:rFonts w:eastAsia="Arial"/>
          <w:b/>
          <w:bCs/>
          <w:lang w:eastAsia="zh-CN"/>
        </w:rPr>
        <w:t>non-</w:t>
      </w:r>
      <w:r w:rsidRPr="00804629">
        <w:rPr>
          <w:rFonts w:eastAsia="Arial"/>
          <w:b/>
          <w:bCs/>
          <w:lang w:eastAsia="zh-CN"/>
        </w:rPr>
        <w:t xml:space="preserve">contiguous PC1.5 ULCA architecture: </w:t>
      </w:r>
    </w:p>
    <w:p w14:paraId="4F4A575C" w14:textId="77777777" w:rsidR="009354B5" w:rsidRDefault="009354B5" w:rsidP="009354B5">
      <w:pPr>
        <w:pStyle w:val="ListParagraph"/>
        <w:numPr>
          <w:ilvl w:val="0"/>
          <w:numId w:val="45"/>
        </w:numPr>
        <w:spacing w:after="0"/>
        <w:ind w:firstLineChars="0"/>
        <w:rPr>
          <w:rFonts w:eastAsia="Arial"/>
          <w:b/>
          <w:bCs/>
          <w:lang w:eastAsia="zh-CN"/>
        </w:rPr>
      </w:pPr>
      <w:r w:rsidRPr="00E01942">
        <w:rPr>
          <w:rFonts w:eastAsia="Arial"/>
          <w:b/>
          <w:bCs/>
          <w:lang w:eastAsia="zh-CN"/>
        </w:rPr>
        <w:t xml:space="preserve">Only the two 26dBm PA architecture using </w:t>
      </w:r>
      <w:r>
        <w:rPr>
          <w:rFonts w:eastAsia="Arial"/>
          <w:b/>
          <w:bCs/>
          <w:lang w:eastAsia="zh-CN"/>
        </w:rPr>
        <w:t xml:space="preserve">one PA per CC </w:t>
      </w:r>
      <w:r w:rsidRPr="00E01942">
        <w:rPr>
          <w:rFonts w:eastAsia="Arial"/>
          <w:b/>
          <w:bCs/>
          <w:lang w:eastAsia="zh-CN"/>
        </w:rPr>
        <w:t xml:space="preserve">is specified. </w:t>
      </w:r>
    </w:p>
    <w:p w14:paraId="720634D1" w14:textId="77777777" w:rsidR="009354B5" w:rsidRDefault="009354B5" w:rsidP="009354B5">
      <w:pPr>
        <w:pStyle w:val="ListParagraph"/>
        <w:numPr>
          <w:ilvl w:val="0"/>
          <w:numId w:val="45"/>
        </w:numPr>
        <w:spacing w:after="0"/>
        <w:ind w:firstLineChars="0"/>
        <w:rPr>
          <w:rFonts w:eastAsia="Arial"/>
          <w:b/>
          <w:bCs/>
          <w:lang w:eastAsia="zh-CN"/>
        </w:rPr>
      </w:pPr>
      <w:r>
        <w:rPr>
          <w:rFonts w:eastAsia="Arial"/>
          <w:b/>
          <w:bCs/>
          <w:lang w:eastAsia="zh-CN"/>
        </w:rPr>
        <w:t>A specific MPR term is added to account for the case where there is an imbalance between the two CC allocated RB BW and PC1.5 maximum power cannot be reached for large RX BW imbalances</w:t>
      </w:r>
    </w:p>
    <w:p w14:paraId="7325324E" w14:textId="77777777" w:rsidR="009354B5" w:rsidRDefault="009354B5" w:rsidP="009354B5">
      <w:pPr>
        <w:pStyle w:val="ListParagraph"/>
        <w:numPr>
          <w:ilvl w:val="0"/>
          <w:numId w:val="45"/>
        </w:numPr>
        <w:spacing w:after="0"/>
        <w:ind w:firstLineChars="0"/>
        <w:rPr>
          <w:rFonts w:eastAsia="Arial"/>
          <w:b/>
          <w:bCs/>
          <w:lang w:eastAsia="zh-CN"/>
        </w:rPr>
      </w:pPr>
      <w:r w:rsidRPr="00E01942">
        <w:rPr>
          <w:rFonts w:eastAsia="Arial"/>
          <w:b/>
          <w:bCs/>
          <w:lang w:eastAsia="zh-CN"/>
        </w:rPr>
        <w:t xml:space="preserve">This has no restriction in terms of supporting </w:t>
      </w:r>
      <w:r>
        <w:rPr>
          <w:rFonts w:eastAsia="Arial"/>
          <w:b/>
          <w:bCs/>
          <w:lang w:eastAsia="zh-CN"/>
        </w:rPr>
        <w:t>6</w:t>
      </w:r>
      <w:r w:rsidRPr="00E01942">
        <w:rPr>
          <w:rFonts w:eastAsia="Arial"/>
          <w:b/>
          <w:bCs/>
          <w:lang w:eastAsia="zh-CN"/>
        </w:rPr>
        <w:t xml:space="preserve">00MHz maximum </w:t>
      </w:r>
      <w:r>
        <w:rPr>
          <w:rFonts w:eastAsia="Arial"/>
          <w:b/>
          <w:bCs/>
          <w:lang w:eastAsia="zh-CN"/>
        </w:rPr>
        <w:t>separation</w:t>
      </w:r>
      <w:r w:rsidRPr="00E01942">
        <w:rPr>
          <w:rFonts w:eastAsia="Arial"/>
          <w:b/>
          <w:bCs/>
          <w:lang w:eastAsia="zh-CN"/>
        </w:rPr>
        <w:t xml:space="preserve"> BW or </w:t>
      </w:r>
      <w:r>
        <w:rPr>
          <w:rFonts w:eastAsia="Arial"/>
          <w:b/>
          <w:bCs/>
          <w:lang w:eastAsia="zh-CN"/>
        </w:rPr>
        <w:t>gap sizes</w:t>
      </w:r>
      <w:r w:rsidRPr="00E01942">
        <w:rPr>
          <w:rFonts w:eastAsia="Arial"/>
          <w:b/>
          <w:bCs/>
          <w:lang w:eastAsia="zh-CN"/>
        </w:rPr>
        <w:t>.</w:t>
      </w:r>
    </w:p>
    <w:p w14:paraId="7507C841" w14:textId="32EE8AFB" w:rsidR="009354B5" w:rsidRPr="00E01942" w:rsidRDefault="009354B5" w:rsidP="009354B5">
      <w:pPr>
        <w:pStyle w:val="ListParagraph"/>
        <w:numPr>
          <w:ilvl w:val="0"/>
          <w:numId w:val="45"/>
        </w:numPr>
        <w:spacing w:after="0"/>
        <w:ind w:firstLineChars="0"/>
        <w:rPr>
          <w:rFonts w:eastAsia="Arial"/>
          <w:b/>
          <w:bCs/>
          <w:lang w:eastAsia="zh-CN"/>
        </w:rPr>
      </w:pPr>
      <w:r>
        <w:rPr>
          <w:rFonts w:eastAsia="Arial"/>
          <w:b/>
          <w:bCs/>
          <w:lang w:eastAsia="zh-CN"/>
        </w:rPr>
        <w:t>UL MIMO cannot be supported</w:t>
      </w:r>
      <w:r w:rsidR="00247734">
        <w:rPr>
          <w:rFonts w:eastAsia="Arial"/>
          <w:b/>
          <w:bCs/>
          <w:lang w:eastAsia="zh-CN"/>
        </w:rPr>
        <w:t>.</w:t>
      </w:r>
    </w:p>
    <w:p w14:paraId="61160C09" w14:textId="469A516F" w:rsidR="00811569" w:rsidRDefault="00811569" w:rsidP="00811569">
      <w:pPr>
        <w:spacing w:after="0"/>
        <w:rPr>
          <w:rFonts w:eastAsia="Arial"/>
          <w:b/>
          <w:bCs/>
          <w:lang w:eastAsia="zh-CN"/>
        </w:rPr>
      </w:pPr>
    </w:p>
    <w:p w14:paraId="5F8B6141" w14:textId="77777777" w:rsidR="009354B5" w:rsidRDefault="009354B5" w:rsidP="009354B5">
      <w:pPr>
        <w:spacing w:after="0"/>
        <w:rPr>
          <w:rFonts w:eastAsia="Arial"/>
          <w:b/>
          <w:bCs/>
          <w:lang w:eastAsia="zh-CN"/>
        </w:rPr>
      </w:pPr>
      <w:r w:rsidRPr="009354B5">
        <w:rPr>
          <w:rFonts w:eastAsia="Arial"/>
          <w:b/>
          <w:bCs/>
          <w:lang w:eastAsia="zh-CN"/>
        </w:rPr>
        <w:t xml:space="preserve">Proposal: for R19 PC1.5 intra-band non-contiguous ULCA with two 26dBm PAs and one PA per CC, the 29dBm </w:t>
      </w:r>
      <w:proofErr w:type="spellStart"/>
      <w:r w:rsidRPr="009354B5">
        <w:rPr>
          <w:rFonts w:eastAsia="Arial"/>
          <w:b/>
          <w:bCs/>
          <w:lang w:eastAsia="zh-CN"/>
        </w:rPr>
        <w:t>PCmax</w:t>
      </w:r>
      <w:proofErr w:type="spellEnd"/>
      <w:r w:rsidRPr="009354B5">
        <w:rPr>
          <w:rFonts w:eastAsia="Arial"/>
          <w:b/>
          <w:bCs/>
          <w:lang w:eastAsia="zh-CN"/>
        </w:rPr>
        <w:t xml:space="preserve"> is modified as follows</w:t>
      </w:r>
      <w:r>
        <w:rPr>
          <w:rFonts w:eastAsia="Arial"/>
          <w:b/>
          <w:bCs/>
          <w:lang w:eastAsia="zh-CN"/>
        </w:rPr>
        <w:t xml:space="preserve"> to account for RB BW imbalances</w:t>
      </w:r>
      <w:r w:rsidRPr="009354B5">
        <w:rPr>
          <w:rFonts w:eastAsia="Arial"/>
          <w:b/>
          <w:bCs/>
          <w:lang w:eastAsia="zh-CN"/>
        </w:rPr>
        <w:t xml:space="preserve">: </w:t>
      </w:r>
    </w:p>
    <w:p w14:paraId="011EE0D2" w14:textId="77777777" w:rsidR="009354B5" w:rsidRPr="009354B5" w:rsidRDefault="009354B5" w:rsidP="009354B5">
      <w:pPr>
        <w:spacing w:after="0"/>
        <w:jc w:val="center"/>
        <w:rPr>
          <w:rFonts w:eastAsia="Arial"/>
          <w:lang w:eastAsia="zh-CN"/>
        </w:rPr>
      </w:pPr>
      <w:r w:rsidRPr="009354B5">
        <w:rPr>
          <w:rFonts w:eastAsia="Arial"/>
          <w:b/>
          <w:bCs/>
          <w:lang w:eastAsia="zh-CN"/>
        </w:rPr>
        <w:t>PCmax=10*log(10^(2</w:t>
      </w:r>
      <w:r>
        <w:rPr>
          <w:rFonts w:eastAsia="Arial"/>
          <w:b/>
          <w:bCs/>
          <w:lang w:eastAsia="zh-CN"/>
        </w:rPr>
        <w:t>6</w:t>
      </w:r>
      <w:r w:rsidRPr="009354B5">
        <w:rPr>
          <w:rFonts w:eastAsia="Arial"/>
          <w:b/>
          <w:bCs/>
          <w:lang w:eastAsia="zh-CN"/>
        </w:rPr>
        <w:t>/</w:t>
      </w:r>
      <w:proofErr w:type="gramStart"/>
      <w:r w:rsidRPr="009354B5">
        <w:rPr>
          <w:rFonts w:eastAsia="Arial"/>
          <w:b/>
          <w:bCs/>
          <w:lang w:eastAsia="zh-CN"/>
        </w:rPr>
        <w:t>10)+</w:t>
      </w:r>
      <w:proofErr w:type="gramEnd"/>
      <w:r w:rsidRPr="009354B5">
        <w:rPr>
          <w:rFonts w:eastAsia="Arial"/>
          <w:b/>
          <w:bCs/>
          <w:lang w:eastAsia="zh-CN"/>
        </w:rPr>
        <w:t>10^((26-10*log(LCRB1*SCS1/LCRB2*SCS2))/10))</w:t>
      </w:r>
    </w:p>
    <w:p w14:paraId="706A035B" w14:textId="4520F24F" w:rsidR="00C05662" w:rsidRDefault="00F2750F" w:rsidP="00DA1597">
      <w:pPr>
        <w:pStyle w:val="Heading1"/>
        <w:numPr>
          <w:ilvl w:val="0"/>
          <w:numId w:val="1"/>
        </w:numPr>
        <w:ind w:left="567" w:hanging="567"/>
      </w:pPr>
      <w:r>
        <w:t>References</w:t>
      </w:r>
    </w:p>
    <w:p w14:paraId="5516C8A1" w14:textId="49BF87E2" w:rsidR="006B1B45" w:rsidRPr="006923D7" w:rsidRDefault="006B1B45" w:rsidP="006923D7">
      <w:pPr>
        <w:spacing w:after="0"/>
      </w:pPr>
      <w:r>
        <w:t xml:space="preserve">[1] </w:t>
      </w:r>
      <w:r w:rsidR="006923D7" w:rsidRPr="006923D7">
        <w:t>RP-240828</w:t>
      </w:r>
      <w:r w:rsidR="006923D7">
        <w:t xml:space="preserve"> </w:t>
      </w:r>
      <w:r w:rsidR="006923D7" w:rsidRPr="006923D7">
        <w:t>New WID: UE RF enhancements for NR FR1/FR2 and EN-DC, Phase 4</w:t>
      </w:r>
      <w:r w:rsidR="006923D7">
        <w:t xml:space="preserve">, </w:t>
      </w:r>
      <w:r w:rsidR="006923D7" w:rsidRPr="006923D7">
        <w:t>RAN4 chair</w:t>
      </w:r>
      <w:r w:rsidR="006923D7">
        <w:t>, RAN#103</w:t>
      </w:r>
    </w:p>
    <w:sectPr w:rsidR="006B1B45" w:rsidRPr="006923D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FFF2B" w14:textId="77777777" w:rsidR="0013239D" w:rsidRPr="00A10429" w:rsidRDefault="0013239D" w:rsidP="0064547A">
      <w:pPr>
        <w:spacing w:after="0"/>
        <w:rPr>
          <w:kern w:val="2"/>
          <w:lang w:eastAsia="zh-CN"/>
        </w:rPr>
      </w:pPr>
      <w:r>
        <w:separator/>
      </w:r>
    </w:p>
  </w:endnote>
  <w:endnote w:type="continuationSeparator" w:id="0">
    <w:p w14:paraId="02876A97" w14:textId="77777777" w:rsidR="0013239D" w:rsidRPr="00A10429" w:rsidRDefault="0013239D" w:rsidP="0064547A">
      <w:pPr>
        <w:spacing w:after="0"/>
        <w:rPr>
          <w:kern w:val="2"/>
          <w:lang w:eastAsia="zh-CN"/>
        </w:rPr>
      </w:pPr>
      <w:r>
        <w:continuationSeparator/>
      </w:r>
    </w:p>
  </w:endnote>
  <w:endnote w:type="continuationNotice" w:id="1">
    <w:p w14:paraId="3EE7847B" w14:textId="77777777" w:rsidR="0013239D" w:rsidRDefault="00132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C2BDD" w14:textId="77777777" w:rsidR="0013239D" w:rsidRPr="00A10429" w:rsidRDefault="0013239D" w:rsidP="0064547A">
      <w:pPr>
        <w:spacing w:after="0"/>
        <w:rPr>
          <w:kern w:val="2"/>
          <w:lang w:eastAsia="zh-CN"/>
        </w:rPr>
      </w:pPr>
      <w:r>
        <w:separator/>
      </w:r>
    </w:p>
  </w:footnote>
  <w:footnote w:type="continuationSeparator" w:id="0">
    <w:p w14:paraId="3EE9F0BA" w14:textId="77777777" w:rsidR="0013239D" w:rsidRPr="00A10429" w:rsidRDefault="0013239D" w:rsidP="0064547A">
      <w:pPr>
        <w:spacing w:after="0"/>
        <w:rPr>
          <w:kern w:val="2"/>
          <w:lang w:eastAsia="zh-CN"/>
        </w:rPr>
      </w:pPr>
      <w:r>
        <w:continuationSeparator/>
      </w:r>
    </w:p>
  </w:footnote>
  <w:footnote w:type="continuationNotice" w:id="1">
    <w:p w14:paraId="2E442973" w14:textId="77777777" w:rsidR="0013239D" w:rsidRDefault="001323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267B08"/>
    <w:multiLevelType w:val="hybridMultilevel"/>
    <w:tmpl w:val="86D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9"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D7AEC"/>
    <w:multiLevelType w:val="hybridMultilevel"/>
    <w:tmpl w:val="08A61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E3E16"/>
    <w:multiLevelType w:val="hybridMultilevel"/>
    <w:tmpl w:val="32322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AC1DA0"/>
    <w:multiLevelType w:val="hybridMultilevel"/>
    <w:tmpl w:val="4F50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5313801"/>
    <w:multiLevelType w:val="hybridMultilevel"/>
    <w:tmpl w:val="96F80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6CB1356"/>
    <w:multiLevelType w:val="hybridMultilevel"/>
    <w:tmpl w:val="0280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2F4E08"/>
    <w:multiLevelType w:val="hybridMultilevel"/>
    <w:tmpl w:val="A8C2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1134ED1"/>
    <w:multiLevelType w:val="hybridMultilevel"/>
    <w:tmpl w:val="C4F0A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CE3CBF"/>
    <w:multiLevelType w:val="hybridMultilevel"/>
    <w:tmpl w:val="75D8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711F6C"/>
    <w:multiLevelType w:val="hybridMultilevel"/>
    <w:tmpl w:val="4AE2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18"/>
  </w:num>
  <w:num w:numId="4">
    <w:abstractNumId w:val="15"/>
  </w:num>
  <w:num w:numId="5">
    <w:abstractNumId w:val="43"/>
  </w:num>
  <w:num w:numId="6">
    <w:abstractNumId w:val="3"/>
  </w:num>
  <w:num w:numId="7">
    <w:abstractNumId w:val="29"/>
  </w:num>
  <w:num w:numId="8">
    <w:abstractNumId w:val="21"/>
  </w:num>
  <w:num w:numId="9">
    <w:abstractNumId w:val="41"/>
  </w:num>
  <w:num w:numId="10">
    <w:abstractNumId w:val="44"/>
  </w:num>
  <w:num w:numId="11">
    <w:abstractNumId w:val="45"/>
  </w:num>
  <w:num w:numId="12">
    <w:abstractNumId w:val="22"/>
  </w:num>
  <w:num w:numId="13">
    <w:abstractNumId w:val="24"/>
  </w:num>
  <w:num w:numId="14">
    <w:abstractNumId w:val="19"/>
  </w:num>
  <w:num w:numId="15">
    <w:abstractNumId w:val="38"/>
  </w:num>
  <w:num w:numId="16">
    <w:abstractNumId w:val="0"/>
  </w:num>
  <w:num w:numId="17">
    <w:abstractNumId w:val="40"/>
  </w:num>
  <w:num w:numId="18">
    <w:abstractNumId w:val="6"/>
  </w:num>
  <w:num w:numId="19">
    <w:abstractNumId w:val="1"/>
  </w:num>
  <w:num w:numId="20">
    <w:abstractNumId w:val="39"/>
  </w:num>
  <w:num w:numId="21">
    <w:abstractNumId w:val="30"/>
  </w:num>
  <w:num w:numId="22">
    <w:abstractNumId w:val="26"/>
    <w:lvlOverride w:ilvl="0">
      <w:startOverride w:val="1"/>
    </w:lvlOverride>
  </w:num>
  <w:num w:numId="23">
    <w:abstractNumId w:val="31"/>
    <w:lvlOverride w:ilvl="0">
      <w:startOverride w:val="1"/>
    </w:lvlOverride>
  </w:num>
  <w:num w:numId="24">
    <w:abstractNumId w:val="23"/>
  </w:num>
  <w:num w:numId="25">
    <w:abstractNumId w:val="35"/>
  </w:num>
  <w:num w:numId="26">
    <w:abstractNumId w:val="33"/>
  </w:num>
  <w:num w:numId="27">
    <w:abstractNumId w:val="12"/>
  </w:num>
  <w:num w:numId="28">
    <w:abstractNumId w:val="36"/>
  </w:num>
  <w:num w:numId="29">
    <w:abstractNumId w:val="32"/>
  </w:num>
  <w:num w:numId="30">
    <w:abstractNumId w:val="11"/>
  </w:num>
  <w:num w:numId="31">
    <w:abstractNumId w:val="17"/>
  </w:num>
  <w:num w:numId="32">
    <w:abstractNumId w:val="9"/>
  </w:num>
  <w:num w:numId="33">
    <w:abstractNumId w:val="16"/>
  </w:num>
  <w:num w:numId="34">
    <w:abstractNumId w:val="10"/>
  </w:num>
  <w:num w:numId="35">
    <w:abstractNumId w:val="8"/>
  </w:num>
  <w:num w:numId="36">
    <w:abstractNumId w:val="37"/>
  </w:num>
  <w:num w:numId="37">
    <w:abstractNumId w:val="42"/>
  </w:num>
  <w:num w:numId="38">
    <w:abstractNumId w:val="20"/>
  </w:num>
  <w:num w:numId="39">
    <w:abstractNumId w:val="5"/>
  </w:num>
  <w:num w:numId="40">
    <w:abstractNumId w:val="2"/>
  </w:num>
  <w:num w:numId="41">
    <w:abstractNumId w:val="2"/>
  </w:num>
  <w:num w:numId="42">
    <w:abstractNumId w:val="25"/>
  </w:num>
  <w:num w:numId="43">
    <w:abstractNumId w:val="14"/>
  </w:num>
  <w:num w:numId="44">
    <w:abstractNumId w:val="27"/>
  </w:num>
  <w:num w:numId="45">
    <w:abstractNumId w:val="28"/>
  </w:num>
  <w:num w:numId="46">
    <w:abstractNumId w:val="13"/>
  </w:num>
  <w:num w:numId="47">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4C3"/>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3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2FD9"/>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7D5"/>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734"/>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1B9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12B"/>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48E"/>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27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B8A"/>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D7"/>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629"/>
    <w:rsid w:val="00804A6E"/>
    <w:rsid w:val="00805B7F"/>
    <w:rsid w:val="0080626A"/>
    <w:rsid w:val="008062DA"/>
    <w:rsid w:val="00806502"/>
    <w:rsid w:val="00806803"/>
    <w:rsid w:val="00807772"/>
    <w:rsid w:val="008077D7"/>
    <w:rsid w:val="008079F1"/>
    <w:rsid w:val="00807A82"/>
    <w:rsid w:val="008110DA"/>
    <w:rsid w:val="00811569"/>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A2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BF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105"/>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4B5"/>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5307"/>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916"/>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24A"/>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711A"/>
    <w:rsid w:val="00BB7827"/>
    <w:rsid w:val="00BB78F8"/>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2C7"/>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C58"/>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5380"/>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942"/>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D89"/>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7197476">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90076563">
      <w:bodyDiv w:val="1"/>
      <w:marLeft w:val="0"/>
      <w:marRight w:val="0"/>
      <w:marTop w:val="0"/>
      <w:marBottom w:val="0"/>
      <w:divBdr>
        <w:top w:val="none" w:sz="0" w:space="0" w:color="auto"/>
        <w:left w:val="none" w:sz="0" w:space="0" w:color="auto"/>
        <w:bottom w:val="none" w:sz="0" w:space="0" w:color="auto"/>
        <w:right w:val="none" w:sz="0" w:space="0" w:color="auto"/>
      </w:divBdr>
    </w:div>
    <w:div w:id="401103867">
      <w:bodyDiv w:val="1"/>
      <w:marLeft w:val="0"/>
      <w:marRight w:val="0"/>
      <w:marTop w:val="0"/>
      <w:marBottom w:val="0"/>
      <w:divBdr>
        <w:top w:val="none" w:sz="0" w:space="0" w:color="auto"/>
        <w:left w:val="none" w:sz="0" w:space="0" w:color="auto"/>
        <w:bottom w:val="none" w:sz="0" w:space="0" w:color="auto"/>
        <w:right w:val="none" w:sz="0" w:space="0" w:color="auto"/>
      </w:divBdr>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2024-04-08T09:07:00Z</dcterms:created>
  <dcterms:modified xsi:type="dcterms:W3CDTF">2024-04-08T22:51:00Z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